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E95" w:rsidRPr="00B51D04" w:rsidRDefault="00696E95" w:rsidP="00BC10D7">
      <w:pPr>
        <w:keepNext/>
        <w:keepLines/>
        <w:spacing w:line="360" w:lineRule="exact"/>
        <w:jc w:val="center"/>
        <w:rPr>
          <w:rStyle w:val="Heading10"/>
          <w:rFonts w:eastAsia="Arial Unicode MS"/>
        </w:rPr>
      </w:pPr>
      <w:bookmarkStart w:id="0" w:name="bookmark0"/>
    </w:p>
    <w:p w:rsidR="00BC10D7" w:rsidRPr="00A90F97" w:rsidRDefault="00BC10D7" w:rsidP="00BC10D7">
      <w:pPr>
        <w:keepNext/>
        <w:keepLines/>
        <w:spacing w:line="360" w:lineRule="exact"/>
        <w:jc w:val="center"/>
        <w:rPr>
          <w:rFonts w:ascii="Verdana" w:hAnsi="Verdana"/>
          <w:b/>
          <w:sz w:val="20"/>
          <w:szCs w:val="20"/>
        </w:rPr>
      </w:pPr>
      <w:r w:rsidRPr="00A90F97">
        <w:rPr>
          <w:rStyle w:val="Heading10"/>
          <w:rFonts w:ascii="Verdana" w:eastAsia="Arial Unicode MS" w:hAnsi="Verdana"/>
          <w:b/>
          <w:sz w:val="24"/>
          <w:szCs w:val="24"/>
          <w:u w:val="none"/>
        </w:rPr>
        <w:t>мотиви</w:t>
      </w:r>
      <w:bookmarkEnd w:id="0"/>
      <w:r w:rsidRPr="00A90F97">
        <w:rPr>
          <w:rStyle w:val="Heading10"/>
          <w:rFonts w:ascii="Verdana" w:eastAsia="Arial Unicode MS" w:hAnsi="Verdana"/>
          <w:b/>
          <w:sz w:val="24"/>
          <w:szCs w:val="24"/>
          <w:u w:val="none"/>
        </w:rPr>
        <w:br/>
      </w:r>
      <w:r w:rsidRPr="00A90F97">
        <w:rPr>
          <w:rStyle w:val="Bodytext2"/>
          <w:rFonts w:ascii="Verdana" w:eastAsia="Arial Unicode MS" w:hAnsi="Verdana"/>
          <w:b/>
          <w:sz w:val="20"/>
          <w:szCs w:val="20"/>
        </w:rPr>
        <w:t>към</w:t>
      </w:r>
    </w:p>
    <w:p w:rsidR="00423248" w:rsidRPr="00A90F97" w:rsidRDefault="00F87060" w:rsidP="00A90F97">
      <w:pPr>
        <w:pStyle w:val="Bodytext20"/>
        <w:shd w:val="clear" w:color="auto" w:fill="auto"/>
        <w:spacing w:before="0"/>
        <w:rPr>
          <w:rFonts w:ascii="Verdana" w:hAnsi="Verdana"/>
          <w:b/>
          <w:sz w:val="20"/>
          <w:szCs w:val="20"/>
          <w:lang w:val="bg-BG"/>
        </w:rPr>
      </w:pPr>
      <w:r w:rsidRPr="00A90F97">
        <w:rPr>
          <w:rFonts w:ascii="Verdana" w:eastAsia="MS Mincho" w:hAnsi="Verdana"/>
          <w:b/>
          <w:iCs/>
          <w:sz w:val="20"/>
          <w:szCs w:val="20"/>
          <w:lang w:val="bg-BG"/>
        </w:rPr>
        <w:t xml:space="preserve">проект на </w:t>
      </w:r>
      <w:r w:rsidR="0028480F" w:rsidRPr="00A90F97">
        <w:rPr>
          <w:rFonts w:ascii="Verdana" w:eastAsia="MS Mincho" w:hAnsi="Verdana"/>
          <w:b/>
          <w:iCs/>
          <w:sz w:val="20"/>
          <w:szCs w:val="20"/>
          <w:lang w:val="bg-BG"/>
        </w:rPr>
        <w:t xml:space="preserve">Наредба за съдържанието, условията и реда за създаване и поддържане на специализираните карти и регистри на </w:t>
      </w:r>
      <w:r w:rsidR="00C33F8F" w:rsidRPr="00A90F97">
        <w:rPr>
          <w:rFonts w:ascii="Verdana" w:eastAsia="MS Mincho" w:hAnsi="Verdana"/>
          <w:b/>
          <w:iCs/>
          <w:sz w:val="20"/>
          <w:szCs w:val="20"/>
          <w:lang w:val="bg-BG"/>
        </w:rPr>
        <w:t>енергийните обекти и съоръжения, собственост на операторите на електропреносната и на  електроразпределителните мрежи (Наредбата).</w:t>
      </w:r>
    </w:p>
    <w:p w:rsidR="00696E95" w:rsidRDefault="00696E95" w:rsidP="00502551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</w:p>
    <w:p w:rsidR="00A90F97" w:rsidRDefault="00A90F97" w:rsidP="00A90F97">
      <w:pPr>
        <w:pStyle w:val="af"/>
        <w:widowControl/>
        <w:numPr>
          <w:ilvl w:val="0"/>
          <w:numId w:val="2"/>
        </w:numPr>
        <w:spacing w:line="360" w:lineRule="auto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  <w:r w:rsidRPr="00A90F97"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  <w:t>Причини, които налагат приемането на Наредбата:</w:t>
      </w:r>
    </w:p>
    <w:p w:rsidR="006E42FE" w:rsidRPr="006E42FE" w:rsidRDefault="006E42FE" w:rsidP="006E42FE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</w:pPr>
      <w:r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Съгласно чл.</w:t>
      </w:r>
      <w:r w:rsidR="00E85FF9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 </w:t>
      </w:r>
      <w:r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32, ал.1, т.1, б. “б“ от Закона за кадастъра и имотния регистър (ЗКИР) (в сила от 01.01.2001 г., </w:t>
      </w:r>
      <w:proofErr w:type="spellStart"/>
      <w:r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посл</w:t>
      </w:r>
      <w:proofErr w:type="spellEnd"/>
      <w:r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. изм. и доп. ДВ. бр. 8 от 25.01.2023 г.), ведомствата, общините, експлоатационните дружества и други юридически лица съобразно характера на своите функции организират набирането, поддържането в актуално състояние и предоставянето на специализирани данни за строежи, съоръжения и други обекти в поземлените имоти, включително за линейните обекти (надземните и подземните проводи и съоръжения) на техническата инфраструктура и техните сервитутни ивици, без сградите и съоръженията със самостоятелните обекти в тях. Съгласно чл. 32, ал. 3 от ЗКИР, съдържанието на специализираните карти и регистри и условията и редът за създаването и поддържането им се определят с наредби, издадени от ръководителя на съответното ведомство и министъра на регионалното развитие и благоустройството.</w:t>
      </w:r>
    </w:p>
    <w:p w:rsidR="006E42FE" w:rsidRPr="006E42FE" w:rsidRDefault="0080372C" w:rsidP="006E42FE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</w:pPr>
      <w:r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С </w:t>
      </w:r>
      <w:r w:rsidR="006E42FE"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проект</w:t>
      </w:r>
      <w:r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а</w:t>
      </w:r>
      <w:r w:rsidR="006E42FE"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 на Наредба</w:t>
      </w:r>
      <w:r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та </w:t>
      </w:r>
      <w:r w:rsidR="006E42FE"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се определят съдържанието, условията и редът за създаването, поддържането и съхранението на специализираните карти и регистри на  енергийните обекти и съоръжения, собственост на операторите на електропреносната и на електроразпределителните мрежи, разположени в тяхната лицензионна територия</w:t>
      </w:r>
      <w:r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, </w:t>
      </w:r>
      <w:r w:rsidRPr="0080372C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по смисъла на § 1, т. 24 от Допълнителните разпоредби на Закона за енергетиката.</w:t>
      </w:r>
      <w:r w:rsidR="006E42FE" w:rsidRPr="006E42FE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 </w:t>
      </w:r>
    </w:p>
    <w:p w:rsidR="00A90F97" w:rsidRPr="006E42FE" w:rsidRDefault="0080372C" w:rsidP="006E42FE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</w:pPr>
      <w:r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 xml:space="preserve"> </w:t>
      </w:r>
      <w:r w:rsidRPr="0080372C">
        <w:rPr>
          <w:rFonts w:ascii="Verdana" w:eastAsia="Times New Roman" w:hAnsi="Verdana" w:cs="Times New Roman"/>
          <w:bCs/>
          <w:color w:val="auto"/>
          <w:sz w:val="20"/>
          <w:szCs w:val="20"/>
          <w:lang w:eastAsia="en-US" w:bidi="ar-SA"/>
        </w:rPr>
        <w:t>Проектът на Наредба е разработен в изпълнение на § 23 (1) от Преходните и заключителни разпоредби към Закона за изменение и допълнение на Закона за кадастъра и имотния регистър (ЗИД ЗКИР) (ДВ, бр. 41 от 2019 г., в сила от 22.08.2019 г.).</w:t>
      </w:r>
    </w:p>
    <w:p w:rsidR="00A90F97" w:rsidRPr="00A90F97" w:rsidRDefault="00A90F97" w:rsidP="00A90F97">
      <w:pPr>
        <w:widowControl/>
        <w:spacing w:line="360" w:lineRule="auto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</w:p>
    <w:p w:rsidR="00A90F97" w:rsidRPr="00A90F97" w:rsidRDefault="00A90F97" w:rsidP="00A90F97">
      <w:pPr>
        <w:pStyle w:val="af"/>
        <w:widowControl/>
        <w:numPr>
          <w:ilvl w:val="0"/>
          <w:numId w:val="2"/>
        </w:numPr>
        <w:spacing w:line="360" w:lineRule="auto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  <w:r w:rsidRPr="00A90F97"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  <w:t>Целите, които се поставят:</w:t>
      </w:r>
    </w:p>
    <w:p w:rsidR="001865C8" w:rsidRDefault="006E42FE" w:rsidP="001865C8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6E42FE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Специализираните карти и регистри, съгласно проекта на Наредба се изработват с цел документиране на пространственото положение и основните технически характеристики на изградената  енергийна мрежа в лицензионна територия на енергийно предприятие, осигуряват информация при</w:t>
      </w:r>
      <w:r w:rsid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:</w:t>
      </w:r>
      <w:r w:rsidRPr="006E42FE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експлоатация и поддържане на електрически подстанции, възлови станции, трансформаторни постове и електропроводи високо, средно и ниско напрежение; проучване и проектиране за изграждане на нови и реконструкция на съществуващи електрически подстанции, възлови станции, трансформаторни постове и електропроводи високо, средно и ниско напрежение и други обекти на енергийната мрежа; изработване на устройствени схеми и общи и подробни устройствени планове; предварителни проучвания и изработване на инвестиционни проекти; създаване на </w:t>
      </w:r>
      <w:r w:rsidRPr="006E42FE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lastRenderedPageBreak/>
        <w:t>информационна система от оператора на съответната мрежа за изградената енергийната мрежа в  лицензионната си  територия.</w:t>
      </w:r>
      <w:r w:rsid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</w:t>
      </w:r>
    </w:p>
    <w:p w:rsidR="001865C8" w:rsidRDefault="001865C8" w:rsidP="001865C8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С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пециализирани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те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карти и регистри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се 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създават и поддържат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от о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ператорите на електропреносната и на </w:t>
      </w:r>
      <w:proofErr w:type="spellStart"/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електоразпределителните</w:t>
      </w:r>
      <w:proofErr w:type="spellEnd"/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мрежи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. Тези дружества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може да възлагат набирането и поддържането в актуално състояние на специализирани данни за енергийните обекти и съоръженията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,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и </w:t>
      </w:r>
      <w:r w:rsidRPr="001865C8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на правоспособно лице по чл. 16 от ЗКИР. </w:t>
      </w:r>
    </w:p>
    <w:p w:rsidR="00662F6A" w:rsidRPr="0080372C" w:rsidRDefault="00662F6A" w:rsidP="00662F6A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Специализираните карти и регистри се създават, съхраняват и поддържат в цифров вид във формат, съгласно изискванията на чл. 12, т. 5 от ЗКИР или във формат, поддържан от Единната информационна точка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, като по този начин се осигурява облекчен достъп до тях</w:t>
      </w: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.  </w:t>
      </w:r>
    </w:p>
    <w:p w:rsidR="00662F6A" w:rsidRDefault="00662F6A" w:rsidP="00A90F97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</w:p>
    <w:p w:rsidR="00A90F97" w:rsidRPr="00A90F97" w:rsidRDefault="00A90F97" w:rsidP="00A90F97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A90F97"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  <w:t>3. Финансови и други средства, необходими за прилагането на новата уредба:</w:t>
      </w:r>
    </w:p>
    <w:p w:rsidR="00A90F97" w:rsidRDefault="00A90F97" w:rsidP="00A90F97">
      <w:pPr>
        <w:widowControl/>
        <w:spacing w:line="360" w:lineRule="auto"/>
        <w:ind w:firstLine="567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 </w:t>
      </w:r>
      <w:r w:rsidRPr="00A90F97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Прилагането на проекта на Наредбата не е обвързано с разходи за държавния бюджет.</w:t>
      </w:r>
    </w:p>
    <w:p w:rsidR="0080372C" w:rsidRDefault="0080372C" w:rsidP="00A90F97">
      <w:pPr>
        <w:widowControl/>
        <w:spacing w:line="360" w:lineRule="auto"/>
        <w:ind w:firstLine="567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</w:p>
    <w:p w:rsidR="00AA228E" w:rsidRPr="00AA228E" w:rsidRDefault="00AA228E" w:rsidP="00AA228E">
      <w:pPr>
        <w:pStyle w:val="af"/>
        <w:widowControl/>
        <w:numPr>
          <w:ilvl w:val="0"/>
          <w:numId w:val="3"/>
        </w:numPr>
        <w:spacing w:line="360" w:lineRule="auto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  <w:r w:rsidRPr="00AA228E"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  <w:t>Очаквани резултати от прилагането:</w:t>
      </w:r>
    </w:p>
    <w:p w:rsidR="00AA228E" w:rsidRDefault="0080372C" w:rsidP="0080372C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Операторите на електропреносната и на електроразпределителните мрежи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ще</w:t>
      </w: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предоставят публичен достъп до специализираните карти, регистри и информационните системи за извършване на справки и проверки, както и за получаване на специализирани данни, които набират и поддържат в актуално състояние, съобразно характера на своите функции.</w:t>
      </w:r>
    </w:p>
    <w:p w:rsidR="0080372C" w:rsidRDefault="0080372C" w:rsidP="0080372C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В проекта на Наредба е предвидено достъпът до данните от специализираните карти и регистри да се осъществява по електронен път чрез информационния портал на Единната информационна точка, съгласно изискванията на Н</w:t>
      </w:r>
      <w:r w:rsidR="00662F6A"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аредба</w:t>
      </w:r>
      <w:r w:rsidR="00662F6A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та</w:t>
      </w: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за форматите на данните и за условията и реда за предоставяне на достъп до информацията в Единната информационна точка.</w:t>
      </w:r>
    </w:p>
    <w:p w:rsidR="0075183A" w:rsidRDefault="0080372C" w:rsidP="0080372C">
      <w:pPr>
        <w:widowControl/>
        <w:spacing w:line="360" w:lineRule="auto"/>
        <w:ind w:firstLine="709"/>
        <w:jc w:val="both"/>
        <w:textAlignment w:val="center"/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</w:pPr>
      <w:r w:rsidRPr="0080372C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В специализираните карти и регистри, освен данни за изградената мрежа се отразяват и зони на ограничения върху поземлени имоти, които произтичат от сервитут или ограничение, възникнало въз основа на нормативен акт, административен акт или договор. </w:t>
      </w:r>
      <w:bookmarkStart w:id="1" w:name="_GoBack"/>
      <w:bookmarkEnd w:id="1"/>
    </w:p>
    <w:p w:rsidR="00A90F97" w:rsidRPr="0093793A" w:rsidRDefault="0093793A" w:rsidP="0093793A">
      <w:pPr>
        <w:pStyle w:val="af"/>
        <w:widowControl/>
        <w:numPr>
          <w:ilvl w:val="0"/>
          <w:numId w:val="3"/>
        </w:numPr>
        <w:spacing w:line="360" w:lineRule="auto"/>
        <w:jc w:val="both"/>
        <w:textAlignment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</w:pPr>
      <w:r w:rsidRPr="0093793A">
        <w:rPr>
          <w:rFonts w:ascii="Verdana" w:eastAsia="Times New Roman" w:hAnsi="Verdana" w:cs="Times New Roman"/>
          <w:b/>
          <w:bCs/>
          <w:color w:val="auto"/>
          <w:sz w:val="20"/>
          <w:szCs w:val="20"/>
          <w:lang w:eastAsia="en-US" w:bidi="ar-SA"/>
        </w:rPr>
        <w:t>Анализ за съответствие с правото на Европейския съюз:</w:t>
      </w:r>
    </w:p>
    <w:p w:rsidR="007F2DCB" w:rsidRPr="00A90F97" w:rsidRDefault="0093793A" w:rsidP="00662F6A">
      <w:pPr>
        <w:widowControl/>
        <w:spacing w:line="360" w:lineRule="auto"/>
        <w:ind w:firstLine="567"/>
        <w:jc w:val="both"/>
        <w:textAlignment w:val="center"/>
        <w:rPr>
          <w:rFonts w:ascii="Verdana" w:eastAsia="MS Mincho" w:hAnsi="Verdana" w:cs="Times New Roman"/>
          <w:iCs/>
          <w:color w:val="auto"/>
          <w:sz w:val="20"/>
          <w:szCs w:val="20"/>
          <w:lang w:eastAsia="en-US" w:bidi="ar-SA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 xml:space="preserve">  </w:t>
      </w:r>
      <w:r w:rsidRPr="00A90F97">
        <w:rPr>
          <w:rFonts w:ascii="Verdana" w:eastAsia="Times New Roman" w:hAnsi="Verdana" w:cs="Times New Roman"/>
          <w:color w:val="auto"/>
          <w:sz w:val="20"/>
          <w:szCs w:val="20"/>
          <w:lang w:eastAsia="en-US" w:bidi="ar-SA"/>
        </w:rPr>
        <w:t>Прилагането на проекта на Наредбата не транспонира европейско законодателство.</w:t>
      </w:r>
    </w:p>
    <w:sectPr w:rsidR="007F2DCB" w:rsidRPr="00A90F97" w:rsidSect="006E42FE">
      <w:footerReference w:type="default" r:id="rId8"/>
      <w:pgSz w:w="11900" w:h="16840"/>
      <w:pgMar w:top="1135" w:right="905" w:bottom="993" w:left="15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483" w:rsidRDefault="00452483">
      <w:r>
        <w:separator/>
      </w:r>
    </w:p>
  </w:endnote>
  <w:endnote w:type="continuationSeparator" w:id="0">
    <w:p w:rsidR="00452483" w:rsidRDefault="0045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890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7178" w:rsidRDefault="0089717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62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7690" w:rsidRDefault="004524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483" w:rsidRDefault="00452483">
      <w:r>
        <w:separator/>
      </w:r>
    </w:p>
  </w:footnote>
  <w:footnote w:type="continuationSeparator" w:id="0">
    <w:p w:rsidR="00452483" w:rsidRDefault="00452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747AD"/>
    <w:multiLevelType w:val="hybridMultilevel"/>
    <w:tmpl w:val="D61C94FA"/>
    <w:lvl w:ilvl="0" w:tplc="DC58D6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A41635"/>
    <w:multiLevelType w:val="hybridMultilevel"/>
    <w:tmpl w:val="6EF63AB8"/>
    <w:lvl w:ilvl="0" w:tplc="58C62D5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C15203"/>
    <w:multiLevelType w:val="hybridMultilevel"/>
    <w:tmpl w:val="0C0EB97E"/>
    <w:lvl w:ilvl="0" w:tplc="ECF048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86"/>
    <w:rsid w:val="00004030"/>
    <w:rsid w:val="00005191"/>
    <w:rsid w:val="00006322"/>
    <w:rsid w:val="0003212A"/>
    <w:rsid w:val="000361C8"/>
    <w:rsid w:val="00067ECF"/>
    <w:rsid w:val="00075D06"/>
    <w:rsid w:val="0008370C"/>
    <w:rsid w:val="00092198"/>
    <w:rsid w:val="00095F68"/>
    <w:rsid w:val="000978EE"/>
    <w:rsid w:val="000A3B85"/>
    <w:rsid w:val="000A5393"/>
    <w:rsid w:val="000B15E7"/>
    <w:rsid w:val="000C6D7E"/>
    <w:rsid w:val="00112DF7"/>
    <w:rsid w:val="00132661"/>
    <w:rsid w:val="00146F13"/>
    <w:rsid w:val="00160F38"/>
    <w:rsid w:val="00164946"/>
    <w:rsid w:val="00182620"/>
    <w:rsid w:val="001865C8"/>
    <w:rsid w:val="001A02D8"/>
    <w:rsid w:val="001A2C2F"/>
    <w:rsid w:val="001D373D"/>
    <w:rsid w:val="001E5B19"/>
    <w:rsid w:val="001F3438"/>
    <w:rsid w:val="002317E4"/>
    <w:rsid w:val="002539D3"/>
    <w:rsid w:val="0028480F"/>
    <w:rsid w:val="002A032F"/>
    <w:rsid w:val="002A3DC4"/>
    <w:rsid w:val="002B173F"/>
    <w:rsid w:val="002B748A"/>
    <w:rsid w:val="002E52FA"/>
    <w:rsid w:val="002F3A5B"/>
    <w:rsid w:val="00314068"/>
    <w:rsid w:val="003326EB"/>
    <w:rsid w:val="0034620A"/>
    <w:rsid w:val="00346B2C"/>
    <w:rsid w:val="00355048"/>
    <w:rsid w:val="003742CC"/>
    <w:rsid w:val="00375B57"/>
    <w:rsid w:val="0038069E"/>
    <w:rsid w:val="00380A81"/>
    <w:rsid w:val="00386BB1"/>
    <w:rsid w:val="003C16B2"/>
    <w:rsid w:val="003E5A1B"/>
    <w:rsid w:val="003F2532"/>
    <w:rsid w:val="00423248"/>
    <w:rsid w:val="004462FE"/>
    <w:rsid w:val="00452483"/>
    <w:rsid w:val="004969DD"/>
    <w:rsid w:val="004C4B2A"/>
    <w:rsid w:val="004E3FB6"/>
    <w:rsid w:val="00502551"/>
    <w:rsid w:val="005127F6"/>
    <w:rsid w:val="0051385B"/>
    <w:rsid w:val="0053025E"/>
    <w:rsid w:val="00547941"/>
    <w:rsid w:val="00573C87"/>
    <w:rsid w:val="00580E60"/>
    <w:rsid w:val="005A32F6"/>
    <w:rsid w:val="005A4981"/>
    <w:rsid w:val="005C1F86"/>
    <w:rsid w:val="005D15E1"/>
    <w:rsid w:val="005D6254"/>
    <w:rsid w:val="005E3FB6"/>
    <w:rsid w:val="005F0ADE"/>
    <w:rsid w:val="005F60C4"/>
    <w:rsid w:val="00613722"/>
    <w:rsid w:val="00614B86"/>
    <w:rsid w:val="00620C6E"/>
    <w:rsid w:val="006234B1"/>
    <w:rsid w:val="006250D5"/>
    <w:rsid w:val="0063674F"/>
    <w:rsid w:val="006567F4"/>
    <w:rsid w:val="00662F6A"/>
    <w:rsid w:val="006700CE"/>
    <w:rsid w:val="00675887"/>
    <w:rsid w:val="0068011B"/>
    <w:rsid w:val="006860C2"/>
    <w:rsid w:val="00696E95"/>
    <w:rsid w:val="006A09A0"/>
    <w:rsid w:val="006A4A6D"/>
    <w:rsid w:val="006B2E97"/>
    <w:rsid w:val="006C2553"/>
    <w:rsid w:val="006C7A00"/>
    <w:rsid w:val="006E1DBE"/>
    <w:rsid w:val="006E42FE"/>
    <w:rsid w:val="006F0CAA"/>
    <w:rsid w:val="006F6748"/>
    <w:rsid w:val="00714B72"/>
    <w:rsid w:val="00732591"/>
    <w:rsid w:val="00734AAA"/>
    <w:rsid w:val="00747C26"/>
    <w:rsid w:val="0075183A"/>
    <w:rsid w:val="007631E3"/>
    <w:rsid w:val="00794A41"/>
    <w:rsid w:val="007A1189"/>
    <w:rsid w:val="007A56DC"/>
    <w:rsid w:val="007B1BB1"/>
    <w:rsid w:val="007B5E64"/>
    <w:rsid w:val="007B6AC7"/>
    <w:rsid w:val="007D2175"/>
    <w:rsid w:val="007D406C"/>
    <w:rsid w:val="007D44D6"/>
    <w:rsid w:val="007E315F"/>
    <w:rsid w:val="007E3F62"/>
    <w:rsid w:val="007F2DCB"/>
    <w:rsid w:val="0080372C"/>
    <w:rsid w:val="00827EC7"/>
    <w:rsid w:val="0086686A"/>
    <w:rsid w:val="00874B62"/>
    <w:rsid w:val="00897178"/>
    <w:rsid w:val="0089720A"/>
    <w:rsid w:val="008A148C"/>
    <w:rsid w:val="008B1530"/>
    <w:rsid w:val="008C42CC"/>
    <w:rsid w:val="008C59C0"/>
    <w:rsid w:val="008E7E5B"/>
    <w:rsid w:val="0090117B"/>
    <w:rsid w:val="0091523E"/>
    <w:rsid w:val="0093793A"/>
    <w:rsid w:val="009646B0"/>
    <w:rsid w:val="00984377"/>
    <w:rsid w:val="009E2585"/>
    <w:rsid w:val="00A23A2E"/>
    <w:rsid w:val="00A337AA"/>
    <w:rsid w:val="00A35AE2"/>
    <w:rsid w:val="00A52EDB"/>
    <w:rsid w:val="00A74D31"/>
    <w:rsid w:val="00A8717F"/>
    <w:rsid w:val="00A90F97"/>
    <w:rsid w:val="00AA228E"/>
    <w:rsid w:val="00B159FF"/>
    <w:rsid w:val="00B35976"/>
    <w:rsid w:val="00B51D04"/>
    <w:rsid w:val="00B914B1"/>
    <w:rsid w:val="00BA31E3"/>
    <w:rsid w:val="00BA36E7"/>
    <w:rsid w:val="00BA71FF"/>
    <w:rsid w:val="00BA7F29"/>
    <w:rsid w:val="00BC10D7"/>
    <w:rsid w:val="00C01A27"/>
    <w:rsid w:val="00C33F8F"/>
    <w:rsid w:val="00C51AFD"/>
    <w:rsid w:val="00C65971"/>
    <w:rsid w:val="00C65CF3"/>
    <w:rsid w:val="00C74DDD"/>
    <w:rsid w:val="00C87672"/>
    <w:rsid w:val="00C92119"/>
    <w:rsid w:val="00CB7215"/>
    <w:rsid w:val="00D114CD"/>
    <w:rsid w:val="00D31594"/>
    <w:rsid w:val="00D4055D"/>
    <w:rsid w:val="00D652C8"/>
    <w:rsid w:val="00D7038C"/>
    <w:rsid w:val="00D72222"/>
    <w:rsid w:val="00DC2D97"/>
    <w:rsid w:val="00DF4F68"/>
    <w:rsid w:val="00E20965"/>
    <w:rsid w:val="00E23576"/>
    <w:rsid w:val="00E401B3"/>
    <w:rsid w:val="00E45796"/>
    <w:rsid w:val="00E61A0B"/>
    <w:rsid w:val="00E85FF9"/>
    <w:rsid w:val="00E87E3D"/>
    <w:rsid w:val="00EB3434"/>
    <w:rsid w:val="00EB5B17"/>
    <w:rsid w:val="00EB7845"/>
    <w:rsid w:val="00EC2EAE"/>
    <w:rsid w:val="00EC59CE"/>
    <w:rsid w:val="00ED3DDB"/>
    <w:rsid w:val="00EF4CFB"/>
    <w:rsid w:val="00F03A7D"/>
    <w:rsid w:val="00F12557"/>
    <w:rsid w:val="00F55498"/>
    <w:rsid w:val="00F623EA"/>
    <w:rsid w:val="00F66A8A"/>
    <w:rsid w:val="00F87060"/>
    <w:rsid w:val="00F94C56"/>
    <w:rsid w:val="00FC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172E"/>
  <w15:docId w15:val="{BB6421F2-820C-4608-8466-C5B3A208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793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BC10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basedOn w:val="a0"/>
    <w:rsid w:val="00BC10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6"/>
      <w:szCs w:val="36"/>
      <w:u w:val="none"/>
    </w:rPr>
  </w:style>
  <w:style w:type="character" w:customStyle="1" w:styleId="Heading10">
    <w:name w:val="Heading #1"/>
    <w:basedOn w:val="Heading1"/>
    <w:rsid w:val="00BC10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36"/>
      <w:szCs w:val="36"/>
      <w:u w:val="single"/>
      <w:lang w:val="bg-BG" w:eastAsia="bg-BG" w:bidi="bg-BG"/>
    </w:rPr>
  </w:style>
  <w:style w:type="character" w:customStyle="1" w:styleId="Bodytext2Spacing1pt">
    <w:name w:val="Body text (2) + Spacing 1 pt"/>
    <w:basedOn w:val="Bodytext2"/>
    <w:rsid w:val="00BC10D7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a"/>
    <w:link w:val="Bodytext2"/>
    <w:rsid w:val="00BC10D7"/>
    <w:pPr>
      <w:shd w:val="clear" w:color="auto" w:fill="FFFFFF"/>
      <w:spacing w:before="360" w:line="407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styleId="a3">
    <w:name w:val="annotation reference"/>
    <w:uiPriority w:val="99"/>
    <w:semiHidden/>
    <w:rsid w:val="00502551"/>
    <w:rPr>
      <w:sz w:val="16"/>
      <w:szCs w:val="16"/>
    </w:rPr>
  </w:style>
  <w:style w:type="paragraph" w:styleId="a4">
    <w:name w:val="annotation text"/>
    <w:basedOn w:val="a"/>
    <w:link w:val="a5"/>
    <w:semiHidden/>
    <w:rsid w:val="00502551"/>
    <w:pPr>
      <w:widowControl/>
    </w:pPr>
    <w:rPr>
      <w:rFonts w:ascii="Times New Roman" w:eastAsia="MS Mincho" w:hAnsi="Times New Roman" w:cs="Times New Roman"/>
      <w:color w:val="auto"/>
      <w:sz w:val="20"/>
      <w:szCs w:val="20"/>
      <w:lang w:val="en-AU" w:eastAsia="en-US" w:bidi="ar-SA"/>
    </w:rPr>
  </w:style>
  <w:style w:type="character" w:customStyle="1" w:styleId="a5">
    <w:name w:val="Текст на коментар Знак"/>
    <w:basedOn w:val="a0"/>
    <w:link w:val="a4"/>
    <w:semiHidden/>
    <w:rsid w:val="00502551"/>
    <w:rPr>
      <w:rFonts w:ascii="Times New Roman" w:eastAsia="MS Mincho" w:hAnsi="Times New Roman" w:cs="Times New Roman"/>
      <w:sz w:val="20"/>
      <w:szCs w:val="20"/>
      <w:lang w:val="en-AU"/>
    </w:rPr>
  </w:style>
  <w:style w:type="paragraph" w:styleId="a6">
    <w:name w:val="Balloon Text"/>
    <w:basedOn w:val="a"/>
    <w:link w:val="a7"/>
    <w:uiPriority w:val="99"/>
    <w:semiHidden/>
    <w:unhideWhenUsed/>
    <w:rsid w:val="0050255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02551"/>
    <w:rPr>
      <w:rFonts w:ascii="Tahoma" w:eastAsia="Arial Unicode MS" w:hAnsi="Tahoma" w:cs="Tahoma"/>
      <w:color w:val="000000"/>
      <w:sz w:val="16"/>
      <w:szCs w:val="16"/>
      <w:lang w:val="bg-BG" w:eastAsia="bg-BG" w:bidi="bg-BG"/>
    </w:rPr>
  </w:style>
  <w:style w:type="paragraph" w:styleId="a8">
    <w:name w:val="header"/>
    <w:basedOn w:val="a"/>
    <w:link w:val="a9"/>
    <w:uiPriority w:val="99"/>
    <w:unhideWhenUsed/>
    <w:rsid w:val="0089717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97178"/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paragraph" w:styleId="aa">
    <w:name w:val="footer"/>
    <w:basedOn w:val="a"/>
    <w:link w:val="ab"/>
    <w:uiPriority w:val="99"/>
    <w:unhideWhenUsed/>
    <w:rsid w:val="0089717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97178"/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F87060"/>
    <w:pPr>
      <w:widowControl w:val="0"/>
    </w:pPr>
    <w:rPr>
      <w:rFonts w:ascii="Arial Unicode MS" w:eastAsia="Arial Unicode MS" w:hAnsi="Arial Unicode MS" w:cs="Arial Unicode MS"/>
      <w:b/>
      <w:bCs/>
      <w:color w:val="000000"/>
      <w:lang w:val="bg-BG" w:eastAsia="bg-BG" w:bidi="bg-BG"/>
    </w:rPr>
  </w:style>
  <w:style w:type="character" w:customStyle="1" w:styleId="ad">
    <w:name w:val="Предмет на коментар Знак"/>
    <w:basedOn w:val="a5"/>
    <w:link w:val="ac"/>
    <w:uiPriority w:val="99"/>
    <w:semiHidden/>
    <w:rsid w:val="00F87060"/>
    <w:rPr>
      <w:rFonts w:ascii="Arial Unicode MS" w:eastAsia="Arial Unicode MS" w:hAnsi="Arial Unicode MS" w:cs="Arial Unicode MS"/>
      <w:b/>
      <w:bCs/>
      <w:color w:val="000000"/>
      <w:sz w:val="20"/>
      <w:szCs w:val="20"/>
      <w:lang w:val="bg-BG" w:eastAsia="bg-BG" w:bidi="bg-BG"/>
    </w:rPr>
  </w:style>
  <w:style w:type="character" w:styleId="ae">
    <w:name w:val="Hyperlink"/>
    <w:basedOn w:val="a0"/>
    <w:uiPriority w:val="99"/>
    <w:unhideWhenUsed/>
    <w:rsid w:val="00EB343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A90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A5FC3-2111-4DDC-923F-FCFB1CF9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Таранджийска</dc:creator>
  <cp:lastModifiedBy>imarinov</cp:lastModifiedBy>
  <cp:revision>15</cp:revision>
  <cp:lastPrinted>2023-02-02T11:36:00Z</cp:lastPrinted>
  <dcterms:created xsi:type="dcterms:W3CDTF">2023-02-02T11:43:00Z</dcterms:created>
  <dcterms:modified xsi:type="dcterms:W3CDTF">2023-02-03T09:51:00Z</dcterms:modified>
</cp:coreProperties>
</file>