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F" w:rsidRPr="00845CC1" w:rsidRDefault="001E40EF" w:rsidP="00845CC1">
      <w:pPr>
        <w:spacing w:after="120"/>
        <w:ind w:firstLine="720"/>
        <w:jc w:val="right"/>
        <w:rPr>
          <w:b/>
        </w:rPr>
      </w:pPr>
      <w:r w:rsidRPr="00845CC1">
        <w:rPr>
          <w:b/>
        </w:rPr>
        <w:tab/>
      </w:r>
      <w:r w:rsidRPr="00845CC1">
        <w:rPr>
          <w:b/>
        </w:rPr>
        <w:tab/>
      </w:r>
      <w:r w:rsidRPr="00845CC1">
        <w:rPr>
          <w:b/>
        </w:rPr>
        <w:tab/>
      </w:r>
      <w:r w:rsidRPr="00845CC1">
        <w:rPr>
          <w:b/>
        </w:rPr>
        <w:tab/>
      </w:r>
      <w:r w:rsidRPr="00845CC1">
        <w:rPr>
          <w:b/>
        </w:rPr>
        <w:tab/>
      </w:r>
      <w:r w:rsidRPr="00845CC1">
        <w:rPr>
          <w:b/>
        </w:rPr>
        <w:tab/>
      </w:r>
      <w:r w:rsidRPr="00845CC1">
        <w:rPr>
          <w:b/>
        </w:rPr>
        <w:tab/>
      </w:r>
      <w:r w:rsidRPr="00845CC1">
        <w:rPr>
          <w:b/>
        </w:rPr>
        <w:tab/>
      </w:r>
      <w:r w:rsidRPr="00845CC1">
        <w:rPr>
          <w:b/>
        </w:rPr>
        <w:tab/>
      </w:r>
      <w:r w:rsidRPr="00845CC1">
        <w:rPr>
          <w:b/>
        </w:rPr>
        <w:tab/>
      </w:r>
      <w:r w:rsidRPr="00845CC1">
        <w:rPr>
          <w:b/>
        </w:rPr>
        <w:tab/>
      </w:r>
      <w:r w:rsidR="00845CC1">
        <w:rPr>
          <w:b/>
        </w:rPr>
        <w:tab/>
      </w:r>
      <w:r w:rsidR="00845CC1">
        <w:rPr>
          <w:b/>
        </w:rPr>
        <w:tab/>
      </w:r>
      <w:r w:rsidR="00845CC1" w:rsidRPr="00845CC1">
        <w:rPr>
          <w:b/>
        </w:rPr>
        <w:t>ПРОЕКТ!</w:t>
      </w:r>
    </w:p>
    <w:p w:rsidR="001E40EF" w:rsidRPr="00845CC1" w:rsidRDefault="001E40EF" w:rsidP="00845CC1">
      <w:pPr>
        <w:spacing w:after="120"/>
        <w:ind w:firstLine="720"/>
        <w:jc w:val="center"/>
        <w:rPr>
          <w:b/>
        </w:rPr>
      </w:pPr>
    </w:p>
    <w:p w:rsidR="001E40EF" w:rsidRPr="00845CC1" w:rsidRDefault="001E40EF" w:rsidP="00845CC1">
      <w:pPr>
        <w:pStyle w:val="NoSpacing"/>
        <w:spacing w:line="276" w:lineRule="auto"/>
        <w:jc w:val="center"/>
        <w:rPr>
          <w:rFonts w:ascii="Times New Roman" w:hAnsi="Times New Roman" w:cs="Times New Roman"/>
          <w:b/>
          <w:sz w:val="24"/>
          <w:szCs w:val="24"/>
        </w:rPr>
      </w:pPr>
      <w:r w:rsidRPr="00845CC1">
        <w:rPr>
          <w:rFonts w:ascii="Times New Roman" w:hAnsi="Times New Roman" w:cs="Times New Roman"/>
          <w:b/>
          <w:sz w:val="24"/>
          <w:szCs w:val="24"/>
        </w:rPr>
        <w:t>МОТИВИ</w:t>
      </w:r>
    </w:p>
    <w:p w:rsidR="001E40EF" w:rsidRPr="00845CC1" w:rsidRDefault="001E40EF" w:rsidP="00845CC1">
      <w:pPr>
        <w:pStyle w:val="NoSpacing"/>
        <w:spacing w:after="120" w:line="276" w:lineRule="auto"/>
        <w:jc w:val="center"/>
        <w:rPr>
          <w:rFonts w:ascii="Times New Roman" w:hAnsi="Times New Roman" w:cs="Times New Roman"/>
          <w:b/>
          <w:sz w:val="24"/>
          <w:szCs w:val="24"/>
        </w:rPr>
      </w:pPr>
      <w:r w:rsidRPr="00845CC1">
        <w:rPr>
          <w:rFonts w:ascii="Times New Roman" w:hAnsi="Times New Roman" w:cs="Times New Roman"/>
          <w:b/>
          <w:sz w:val="24"/>
          <w:szCs w:val="24"/>
        </w:rPr>
        <w:t>КЪМ ПРОЕКТА НА ЗАКОН ЗА ИЗМЕНЕНИЕ И ДОПЪЛНЕНИЕ НА НАКАЗАТЕЛНИЯ КОДЕКС</w:t>
      </w:r>
    </w:p>
    <w:p w:rsidR="001E40EF" w:rsidRPr="00845CC1" w:rsidRDefault="001E40EF" w:rsidP="00845CC1">
      <w:pPr>
        <w:spacing w:after="120"/>
        <w:ind w:firstLine="720"/>
        <w:jc w:val="center"/>
        <w:rPr>
          <w:b/>
        </w:rPr>
      </w:pPr>
    </w:p>
    <w:p w:rsidR="001E40EF" w:rsidRPr="00845CC1" w:rsidRDefault="001E40EF" w:rsidP="00845CC1">
      <w:pPr>
        <w:spacing w:after="120"/>
        <w:ind w:firstLine="720"/>
        <w:rPr>
          <w:rFonts w:eastAsia="Times New Roman"/>
          <w:b/>
          <w:bCs/>
          <w:u w:val="single"/>
          <w:lang w:eastAsia="bg-BG"/>
        </w:rPr>
      </w:pPr>
      <w:r w:rsidRPr="00845CC1">
        <w:rPr>
          <w:rFonts w:eastAsia="Times New Roman"/>
          <w:b/>
          <w:bCs/>
          <w:u w:val="single"/>
          <w:lang w:eastAsia="bg-BG"/>
        </w:rPr>
        <w:t xml:space="preserve">1. Причини, които налагат приемането на предложения проект на Закон за изменение и допълнение на Наказателния кодекс, </w:t>
      </w:r>
      <w:r w:rsidR="00C75941">
        <w:rPr>
          <w:rFonts w:eastAsia="Times New Roman"/>
          <w:b/>
          <w:bCs/>
          <w:u w:val="single"/>
          <w:lang w:eastAsia="bg-BG"/>
        </w:rPr>
        <w:t xml:space="preserve">предвиждащ промени и </w:t>
      </w:r>
      <w:r w:rsidRPr="00845CC1">
        <w:rPr>
          <w:rFonts w:eastAsia="Times New Roman"/>
          <w:b/>
          <w:bCs/>
          <w:u w:val="single"/>
          <w:lang w:eastAsia="bg-BG"/>
        </w:rPr>
        <w:t>Наказателно-процесуалния кодекс и Закона за административните нарушения и наказания</w:t>
      </w:r>
    </w:p>
    <w:p w:rsidR="001E40EF" w:rsidRPr="00845CC1" w:rsidRDefault="001E40EF" w:rsidP="00845CC1">
      <w:pPr>
        <w:spacing w:after="120"/>
        <w:ind w:firstLine="720"/>
        <w:rPr>
          <w:rFonts w:eastAsia="Calibri"/>
        </w:rPr>
      </w:pPr>
      <w:r w:rsidRPr="00845CC1">
        <w:rPr>
          <w:rFonts w:eastAsia="Calibri"/>
        </w:rPr>
        <w:t>Присъединяването на Република България към Организацията за икономическо сътрудничество и развитие (ОИСР) е стратегически външнополитически приоритет за страната. Неговата реализация ще има важно значение за укрепването на нашата позиция в международен план и ще подпомогне икономическото развитие на страната и подобряването на жизнения стандарт на гражданите чрез привеждането на политиките в България в съответствие с най-добрите международни стандарти и практики в областта на държавното управление, финансите, икономиката, инвестициите, околната среда, в социалната и образователната сфера.</w:t>
      </w:r>
      <w:r w:rsidRPr="00845CC1">
        <w:rPr>
          <w:rFonts w:eastAsia="Calibri"/>
          <w:noProof/>
          <w:lang w:eastAsia="bg-BG"/>
        </w:rPr>
        <w:drawing>
          <wp:inline distT="0" distB="0" distL="0" distR="0" wp14:anchorId="52836EC0" wp14:editId="173CAAB9">
            <wp:extent cx="9525" cy="9525"/>
            <wp:effectExtent l="0" t="0" r="0" b="0"/>
            <wp:docPr id="1" name="Picture 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E40EF" w:rsidRPr="00845CC1" w:rsidRDefault="001E40EF" w:rsidP="00845CC1">
      <w:pPr>
        <w:spacing w:after="120"/>
        <w:ind w:firstLine="720"/>
        <w:rPr>
          <w:rFonts w:eastAsia="Calibri"/>
        </w:rPr>
      </w:pPr>
      <w:r w:rsidRPr="00845CC1">
        <w:rPr>
          <w:rFonts w:eastAsia="Calibri"/>
        </w:rPr>
        <w:t xml:space="preserve">Важна част от предприсъединителния процес на страната е успешното приключване на техническите прегледи, извършвани от комитетите и работните формати на ОИСР, в това число прегледа на Работната група за борба с подкупването в международните търговски сделки (Работната група за борба с подкупването на ОИСР). </w:t>
      </w:r>
    </w:p>
    <w:p w:rsidR="001E40EF" w:rsidRPr="00845CC1" w:rsidRDefault="001E40EF" w:rsidP="00845CC1">
      <w:pPr>
        <w:spacing w:after="120"/>
        <w:ind w:firstLine="720"/>
        <w:rPr>
          <w:lang w:eastAsia="bg-BG"/>
        </w:rPr>
      </w:pPr>
      <w:r w:rsidRPr="00845CC1">
        <w:rPr>
          <w:rFonts w:eastAsia="Times New Roman"/>
        </w:rPr>
        <w:t>На 6 декември 2023 г. Работната група за борба с подкупването на ОИСР прие предварителната оценка за готовността на България за присъединяване към организацията по показателите, определени в Методологията на Работната група, за оценка на изпълнението на критериите за присъединяване към ОИСР в областта на борбата с корупцията. Важна част от прегледа е изпълнението на препоръките от доклада за България по фаза 4 от мониторинга по прилагането на Конвенцията за борба с подкупването на чужди длъжностни лица в международните търговски сделки на ОИСР (Конвен</w:t>
      </w:r>
      <w:r w:rsidR="001D1F1E">
        <w:rPr>
          <w:rFonts w:eastAsia="Times New Roman"/>
        </w:rPr>
        <w:t>ц</w:t>
      </w:r>
      <w:r w:rsidRPr="00845CC1">
        <w:rPr>
          <w:rFonts w:eastAsia="Times New Roman"/>
        </w:rPr>
        <w:t>ията на ОИСР) и свързаните с нея инструменти</w:t>
      </w:r>
      <w:r w:rsidRPr="00845CC1">
        <w:rPr>
          <w:rStyle w:val="FootnoteReference"/>
          <w:rFonts w:eastAsia="Times New Roman"/>
        </w:rPr>
        <w:footnoteReference w:id="1"/>
      </w:r>
      <w:r w:rsidRPr="00845CC1">
        <w:rPr>
          <w:rFonts w:eastAsia="Times New Roman"/>
        </w:rPr>
        <w:t xml:space="preserve"> </w:t>
      </w:r>
      <w:r w:rsidRPr="00845CC1">
        <w:rPr>
          <w:rStyle w:val="FootnoteReference"/>
          <w:rFonts w:eastAsia="Times New Roman"/>
        </w:rPr>
        <w:footnoteReference w:id="2"/>
      </w:r>
      <w:r w:rsidRPr="00845CC1">
        <w:rPr>
          <w:rFonts w:eastAsia="Times New Roman"/>
        </w:rPr>
        <w:t>.</w:t>
      </w:r>
      <w:r w:rsidRPr="00845CC1">
        <w:rPr>
          <w:lang w:eastAsia="bg-BG"/>
        </w:rPr>
        <w:t xml:space="preserve"> </w:t>
      </w:r>
    </w:p>
    <w:p w:rsidR="001E40EF" w:rsidRPr="00845CC1" w:rsidRDefault="001E40EF" w:rsidP="00845CC1">
      <w:pPr>
        <w:spacing w:after="120"/>
        <w:ind w:firstLine="720"/>
        <w:rPr>
          <w:rFonts w:eastAsia="Times New Roman"/>
        </w:rPr>
      </w:pPr>
      <w:r w:rsidRPr="00845CC1">
        <w:rPr>
          <w:rFonts w:eastAsia="Times New Roman"/>
        </w:rPr>
        <w:lastRenderedPageBreak/>
        <w:t xml:space="preserve">Докладът за Република България по фаза 4 съдържа анализ на ключови въпроси, свързани с разкриването на престъплението подкуп на чуждо длъжностно лице, нивото на правоприлагане и отговорността на юридическите лица. Въз основа на направените констатации в доклада са формулирани общо 52 препоръки към страната за подобряване на националната институционална и законодателна рамка за борба с подкупа на чужди длъжностни лица, групирани в 18 области. Като страна по Конвенцията на ОИСР България следва да изпълни всички препоръки на Работната група </w:t>
      </w:r>
      <w:r w:rsidR="009F0D8E">
        <w:rPr>
          <w:rFonts w:eastAsia="Times New Roman"/>
        </w:rPr>
        <w:t>на ОИСР за борба с подкупването</w:t>
      </w:r>
      <w:r w:rsidRPr="00845CC1">
        <w:rPr>
          <w:rFonts w:eastAsia="Times New Roman"/>
        </w:rPr>
        <w:t>.</w:t>
      </w:r>
      <w:r w:rsidR="008773B9">
        <w:rPr>
          <w:rFonts w:eastAsia="Times New Roman"/>
        </w:rPr>
        <w:t xml:space="preserve"> </w:t>
      </w:r>
      <w:r w:rsidR="00F54E49" w:rsidRPr="008773B9">
        <w:rPr>
          <w:rFonts w:eastAsia="Times New Roman"/>
        </w:rPr>
        <w:t>Изпълнението</w:t>
      </w:r>
      <w:r w:rsidR="00F54E49">
        <w:rPr>
          <w:rFonts w:eastAsia="Times New Roman"/>
        </w:rPr>
        <w:t xml:space="preserve"> </w:t>
      </w:r>
      <w:r w:rsidRPr="00845CC1">
        <w:rPr>
          <w:rFonts w:eastAsia="Times New Roman"/>
        </w:rPr>
        <w:t>на препоръките, изискващи предприемането на законодателни действия за подобряване на наказателно-правната уредба на подкупа на чужди длъжностни лица и режима на отговорност на юридическите лица, е важна предпоставка за покриването на критериите за членство на България в ОИСР в областта на борбата с корупцията.</w:t>
      </w:r>
    </w:p>
    <w:p w:rsidR="001E40EF" w:rsidRPr="00845CC1" w:rsidRDefault="001E40EF" w:rsidP="00845CC1">
      <w:pPr>
        <w:spacing w:after="120"/>
        <w:ind w:firstLine="720"/>
        <w:rPr>
          <w:rFonts w:eastAsia="Times New Roman"/>
        </w:rPr>
      </w:pPr>
      <w:r w:rsidRPr="00845CC1">
        <w:rPr>
          <w:rFonts w:eastAsia="Times New Roman"/>
        </w:rPr>
        <w:t>Основните критики на Работната група за борба с подкупването на ОИСР относно материалната уредба на подкупа на чуждо длъжностно лице се свеждат до несъответствието на състава за активен подкуп с изискванията на Конвенцията на ОИСР. Така например, според Работната група съставомерността на деянието по чл. 304, ал. 1 от Наказателния кодекс (НК) не отговаря на изискването на член 1, параграф 4, буква (в) от Конвенцията, а именно даването, предлагането или обещанието на подкупа да е с цел „длъжностното лице да извърши действие или да се въздържи от действие във връзка с изпълнението на служебните задължения“, което включва всяко използване на положението на длъжностното лице, независимо дали попада в разрешената компетентност на служителя или излиза извън нея. Законовото изискване дарът или облагата да са предложени, обещани или дадени на друго лице със „съгласието на длъжностното лице“ (чл. 304в НК) също повдига притеснения. Докладът съдържа критики и по отношение на различното третиране на подкупа на чужди длъжностни лица и подкупа на местни длъжностни лица и липсата на квалифицирани състави за подкуп на чужди длъжностни лица, подобни на тези за подкупа на местни длъжностни лица, което е несъвместимо с чл. 3, параграф 1 от Конвенцията, която изисква сравними наказания за двете престъпления.</w:t>
      </w:r>
    </w:p>
    <w:p w:rsidR="001E40EF" w:rsidRPr="00845CC1" w:rsidRDefault="001E40EF" w:rsidP="00845CC1">
      <w:pPr>
        <w:spacing w:after="120"/>
        <w:ind w:firstLine="720"/>
        <w:rPr>
          <w:rFonts w:eastAsia="Times New Roman"/>
        </w:rPr>
      </w:pPr>
      <w:r w:rsidRPr="00845CC1">
        <w:rPr>
          <w:rFonts w:eastAsia="Times New Roman"/>
        </w:rPr>
        <w:t>Предложените изменения и допълнения на З</w:t>
      </w:r>
      <w:r w:rsidR="00754C1E">
        <w:rPr>
          <w:rFonts w:eastAsia="Times New Roman"/>
        </w:rPr>
        <w:t xml:space="preserve">акона за административните нарушения и наказания </w:t>
      </w:r>
      <w:r w:rsidR="00754C1E" w:rsidRPr="00262712">
        <w:rPr>
          <w:rFonts w:eastAsia="Times New Roman"/>
        </w:rPr>
        <w:t>(</w:t>
      </w:r>
      <w:r w:rsidR="00754C1E">
        <w:rPr>
          <w:rFonts w:eastAsia="Times New Roman"/>
        </w:rPr>
        <w:t>З</w:t>
      </w:r>
      <w:r w:rsidRPr="00845CC1">
        <w:rPr>
          <w:rFonts w:eastAsia="Times New Roman"/>
        </w:rPr>
        <w:t>АНН</w:t>
      </w:r>
      <w:r w:rsidR="00754C1E" w:rsidRPr="00262712">
        <w:rPr>
          <w:rFonts w:eastAsia="Times New Roman"/>
        </w:rPr>
        <w:t>)</w:t>
      </w:r>
      <w:r w:rsidRPr="00845CC1">
        <w:rPr>
          <w:rFonts w:eastAsia="Times New Roman"/>
        </w:rPr>
        <w:t xml:space="preserve"> имат за цел да изпълнят отправените към Република България препоръки, съдържащи се в Доклада от Петия оценителен кръг на </w:t>
      </w:r>
      <w:r w:rsidRPr="00845CC1">
        <w:rPr>
          <w:bCs/>
        </w:rPr>
        <w:t>Комитета на експертите за борба с изпирането на пари и финансирането на тероризма (MONEYVAL) към Съвета на Европа</w:t>
      </w:r>
      <w:r w:rsidRPr="00845CC1">
        <w:rPr>
          <w:rFonts w:eastAsia="Times New Roman"/>
          <w:i/>
          <w:iCs/>
        </w:rPr>
        <w:t xml:space="preserve"> </w:t>
      </w:r>
      <w:r w:rsidRPr="00845CC1">
        <w:rPr>
          <w:rFonts w:eastAsia="Times New Roman"/>
        </w:rPr>
        <w:t xml:space="preserve">от 18 май 2022 г. За пръв път със законопроекта се регламентира възможността за образуване на производство за реализация на отговорността на юридическото лице в случаите, когато то е създадено или използвано от лице по чл. 83а, ал. 1, т. 1 – 4 ЗАНН за тероризъм, изпиране на пари или за престъпление, извършено по поръчение или в изпълнение на решение на организирана престъпна група. Предложеното </w:t>
      </w:r>
      <w:r w:rsidRPr="00845CC1">
        <w:rPr>
          <w:rFonts w:eastAsia="Times New Roman"/>
        </w:rPr>
        <w:lastRenderedPageBreak/>
        <w:t>изменение има за цел да позволи търсене на административнонаказателна отговорност от юридическите лица и когато не е налице облага от извършеното престъпление (което често се наблюдава в случаите, при които юридическите лица са използвани за насочване на средства за целите на изпирането на пари или финансирането на тероризъм). Със законопроекта се отговаря и на  препоръката на Комитета за предвиждане на по-ефективни, пропорционални и разубеждаващи имуществени санкции срещу юридическите лица, както</w:t>
      </w:r>
      <w:r w:rsidRPr="00845CC1">
        <w:rPr>
          <w:rFonts w:eastAsia="Times New Roman"/>
          <w:color w:val="0070C0"/>
        </w:rPr>
        <w:t xml:space="preserve"> </w:t>
      </w:r>
      <w:r w:rsidRPr="00845CC1">
        <w:rPr>
          <w:rFonts w:eastAsia="Times New Roman"/>
        </w:rPr>
        <w:t>и допълнителни неимуществени санкции, които да имат възпиращ ефект при борбата с изпирането на пари и финансирането на тероризма.</w:t>
      </w:r>
    </w:p>
    <w:p w:rsidR="001E40EF" w:rsidRPr="00845CC1" w:rsidRDefault="001E40EF" w:rsidP="00845CC1">
      <w:pPr>
        <w:spacing w:after="120"/>
        <w:ind w:firstLine="720"/>
        <w:rPr>
          <w:rFonts w:eastAsia="Times New Roman"/>
        </w:rPr>
      </w:pPr>
      <w:r w:rsidRPr="00845CC1">
        <w:rPr>
          <w:rFonts w:eastAsia="Times New Roman"/>
        </w:rPr>
        <w:t xml:space="preserve">Приемането на предложените изменения ще осигури и пълно съответствие с изискванията на чл. 6 </w:t>
      </w:r>
      <w:r w:rsidR="00CC105C" w:rsidRPr="00262712">
        <w:rPr>
          <w:rFonts w:eastAsia="Times New Roman"/>
        </w:rPr>
        <w:t>(</w:t>
      </w:r>
      <w:r w:rsidR="00CC105C">
        <w:rPr>
          <w:rFonts w:eastAsia="Times New Roman"/>
        </w:rPr>
        <w:t>„</w:t>
      </w:r>
      <w:r w:rsidRPr="00845CC1">
        <w:rPr>
          <w:rFonts w:eastAsia="Times New Roman"/>
        </w:rPr>
        <w:t>Санкции за юридически лица</w:t>
      </w:r>
      <w:r w:rsidR="00CC105C">
        <w:rPr>
          <w:rFonts w:eastAsia="Times New Roman"/>
        </w:rPr>
        <w:t>“</w:t>
      </w:r>
      <w:r w:rsidR="00CC105C" w:rsidRPr="00262712">
        <w:rPr>
          <w:rFonts w:eastAsia="Times New Roman"/>
        </w:rPr>
        <w:t>)</w:t>
      </w:r>
      <w:r w:rsidRPr="00845CC1">
        <w:rPr>
          <w:rFonts w:eastAsia="Times New Roman"/>
        </w:rPr>
        <w:t xml:space="preserve">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 В момента по отношение на тази разпоредба е налице пълно несъответствие.</w:t>
      </w:r>
    </w:p>
    <w:p w:rsidR="001E40EF" w:rsidRPr="00845CC1" w:rsidRDefault="001E40EF" w:rsidP="00845CC1">
      <w:pPr>
        <w:spacing w:after="120"/>
        <w:ind w:firstLine="720"/>
        <w:rPr>
          <w:rFonts w:eastAsia="Times New Roman"/>
          <w:bCs/>
          <w:lang w:eastAsia="bg-BG"/>
        </w:rPr>
      </w:pPr>
      <w:r w:rsidRPr="00845CC1">
        <w:rPr>
          <w:rFonts w:eastAsia="Times New Roman"/>
          <w:bCs/>
          <w:lang w:eastAsia="bg-BG"/>
        </w:rPr>
        <w:t xml:space="preserve">Законопроектът си поставя за цел да </w:t>
      </w:r>
      <w:r w:rsidR="00D00270">
        <w:rPr>
          <w:rFonts w:eastAsia="Times New Roman"/>
          <w:bCs/>
          <w:lang w:eastAsia="bg-BG"/>
        </w:rPr>
        <w:t xml:space="preserve">съобрази </w:t>
      </w:r>
      <w:r w:rsidRPr="00845CC1">
        <w:rPr>
          <w:rFonts w:eastAsia="Times New Roman"/>
          <w:bCs/>
          <w:lang w:eastAsia="bg-BG"/>
        </w:rPr>
        <w:t xml:space="preserve">и решението на Съда на ЕС по дело С-203/21 ДЕЛТА СТРОЙ 2003 от ноември 2022 г. във връзка с тълкуването на Рамковото решение относно конфискацията на облаги, средства и имущество от престъпления и на Хартата на основните права на Европейския съюз. Констатациите на Съда на ЕС изискват реформи в наказателния процес, които да позволят защита на юридическите лица, срещу които има образувано производство </w:t>
      </w:r>
      <w:r w:rsidR="00751674">
        <w:rPr>
          <w:rFonts w:eastAsia="Times New Roman"/>
          <w:bCs/>
          <w:lang w:eastAsia="bg-BG"/>
        </w:rPr>
        <w:t xml:space="preserve">за реализиране на предвидената в </w:t>
      </w:r>
      <w:r w:rsidRPr="00845CC1">
        <w:rPr>
          <w:rFonts w:eastAsia="Times New Roman"/>
          <w:bCs/>
          <w:lang w:eastAsia="bg-BG"/>
        </w:rPr>
        <w:t>чл. 83а ЗАНН</w:t>
      </w:r>
      <w:r w:rsidR="00751674">
        <w:rPr>
          <w:rFonts w:eastAsia="Times New Roman"/>
          <w:bCs/>
          <w:lang w:eastAsia="bg-BG"/>
        </w:rPr>
        <w:t xml:space="preserve"> отговорност</w:t>
      </w:r>
      <w:r w:rsidRPr="00845CC1">
        <w:rPr>
          <w:rFonts w:eastAsia="Times New Roman"/>
          <w:bCs/>
          <w:lang w:eastAsia="bg-BG"/>
        </w:rPr>
        <w:t>, в рамките на наказателното производство срещу физическия извършител на престъплението - източник на облага за юридическото лице. Изводите на съда донякъде се припокриват с аргументите на Работната група за борба с подкупването на ОИСР към една от препоръките от доклада по фаза 4, съгласно която страната ни следва да обмисли комбиниране на производствата срещу физически и юридически лица по едно и също дело, следвайки практиката на някои други членове на Работната група с ненаказателна корпоративна отговорност.</w:t>
      </w:r>
    </w:p>
    <w:p w:rsidR="001E40EF" w:rsidRPr="00845CC1" w:rsidRDefault="001E40EF" w:rsidP="00845CC1">
      <w:pPr>
        <w:spacing w:after="120"/>
        <w:ind w:firstLine="720"/>
        <w:rPr>
          <w:rFonts w:eastAsia="Times New Roman"/>
          <w:b/>
          <w:bCs/>
          <w:u w:val="single"/>
          <w:lang w:eastAsia="bg-BG"/>
        </w:rPr>
      </w:pPr>
      <w:r w:rsidRPr="00845CC1">
        <w:rPr>
          <w:rFonts w:eastAsia="Times New Roman"/>
          <w:b/>
          <w:bCs/>
          <w:u w:val="single"/>
          <w:lang w:eastAsia="bg-BG"/>
        </w:rPr>
        <w:t>2. Цели на предложения проект на акт за изменение и допълнение на Наказателния кодекс, Наказателно-процесуалния коде</w:t>
      </w:r>
      <w:r w:rsidR="007A41D4">
        <w:rPr>
          <w:rFonts w:eastAsia="Times New Roman"/>
          <w:b/>
          <w:bCs/>
          <w:u w:val="single"/>
          <w:lang w:eastAsia="bg-BG"/>
        </w:rPr>
        <w:t>к</w:t>
      </w:r>
      <w:r w:rsidRPr="00845CC1">
        <w:rPr>
          <w:rFonts w:eastAsia="Times New Roman"/>
          <w:b/>
          <w:bCs/>
          <w:u w:val="single"/>
          <w:lang w:eastAsia="bg-BG"/>
        </w:rPr>
        <w:t>с и Закона за административните нарушения и наказания:</w:t>
      </w:r>
    </w:p>
    <w:p w:rsidR="001E40EF" w:rsidRPr="00845CC1" w:rsidRDefault="001E40EF" w:rsidP="00845CC1">
      <w:pPr>
        <w:spacing w:after="120"/>
        <w:ind w:firstLine="720"/>
      </w:pPr>
      <w:r w:rsidRPr="00845CC1">
        <w:t>Предложените изменения и допълнения в Наказателния кодекс имат за цел</w:t>
      </w:r>
      <w:r w:rsidRPr="00845CC1">
        <w:rPr>
          <w:b/>
        </w:rPr>
        <w:t xml:space="preserve"> </w:t>
      </w:r>
      <w:r w:rsidRPr="00845CC1">
        <w:t>да изменят състава на престъплението за подкуп на чуждо длъжностно лице, за да обхване всяко използване на служебното положение на длъжностното лице, независимо дали е в правомощията на длъжностното лице; да заличи изискването за предварително съгласие на длъжностното лице подкупът да бъде обещан, предложен или даден в полза на трети лица; да въведе разпоредба, с която квалифицирани случаи на подкуп на чуждо длъжностно лице да се санкционират по същия начин както квалифицираните случаи на подкуп на местни длъжностни лица.</w:t>
      </w:r>
    </w:p>
    <w:p w:rsidR="001E40EF" w:rsidRPr="00845CC1" w:rsidRDefault="001E40EF" w:rsidP="00845CC1">
      <w:pPr>
        <w:spacing w:after="120"/>
        <w:ind w:firstLine="720"/>
        <w:rPr>
          <w:bCs/>
        </w:rPr>
      </w:pPr>
      <w:r w:rsidRPr="00845CC1">
        <w:rPr>
          <w:bCs/>
        </w:rPr>
        <w:lastRenderedPageBreak/>
        <w:t>Предложените изменения и допълнения в Наказателно-процесуалния кодекс имат за цел</w:t>
      </w:r>
      <w:r w:rsidRPr="00845CC1">
        <w:rPr>
          <w:b/>
          <w:bCs/>
        </w:rPr>
        <w:t xml:space="preserve"> </w:t>
      </w:r>
      <w:r w:rsidRPr="00845CC1">
        <w:rPr>
          <w:bCs/>
        </w:rPr>
        <w:t>да гарантират, че когато е уместно, производството срещу физически и юридически лица ще се развива паралелно</w:t>
      </w:r>
      <w:r w:rsidR="00A82472">
        <w:rPr>
          <w:bCs/>
        </w:rPr>
        <w:t xml:space="preserve"> </w:t>
      </w:r>
      <w:r w:rsidRPr="00845CC1">
        <w:rPr>
          <w:bCs/>
        </w:rPr>
        <w:t>в едно и също дело, следвайки практиката на някои други държави</w:t>
      </w:r>
      <w:r w:rsidR="00A82472">
        <w:rPr>
          <w:bCs/>
        </w:rPr>
        <w:t xml:space="preserve"> - </w:t>
      </w:r>
      <w:r w:rsidRPr="00845CC1">
        <w:rPr>
          <w:bCs/>
        </w:rPr>
        <w:t>членове на Работната група, които имат ненаказателна корпоративна отговорност за юридическите лица. В тази насока законопроектът има за цел да създаде гаранции, че пълният набор от инструменти за разследване в НПК, включително специални разузнавателни средства, могат да се използват и в производства срещу юридически лица; да гарантира правото на защита и условия за редовно призоваване на представител на юридическо лице.</w:t>
      </w:r>
    </w:p>
    <w:p w:rsidR="001E40EF" w:rsidRPr="00845CC1" w:rsidRDefault="001E40EF" w:rsidP="00845CC1">
      <w:pPr>
        <w:spacing w:after="120"/>
        <w:ind w:firstLine="720"/>
      </w:pPr>
      <w:r w:rsidRPr="00845CC1">
        <w:t xml:space="preserve">Предложените изменения и допълнения на Закона за административните нарушения и наказания </w:t>
      </w:r>
      <w:r w:rsidR="0096422F" w:rsidRPr="0096422F">
        <w:t xml:space="preserve">(ЗАНН) </w:t>
      </w:r>
      <w:r w:rsidRPr="00845CC1">
        <w:t>имат за цел да се отговори на отправените препоръки към Република България с доклада по фаза 4 на Работната група за борба с подкупването на чужди длъжностни лица към Организацията за икономическо сътрудничество и развитие (ОИСР) относно отговорността на юридическите лица по чл. 83а и следващите от ЗАНН за извършени престъпления; да се усъвършенства режимът за реализация на отговорността на юридическите лица по чл. 83а и сл. от ЗАНН</w:t>
      </w:r>
      <w:r w:rsidR="009868A8">
        <w:t>,</w:t>
      </w:r>
      <w:r w:rsidRPr="00845CC1">
        <w:t xml:space="preserve"> и да се достигне до по-справедливо санкциониране на същите, както и да се отговори на препоръки на </w:t>
      </w:r>
      <w:r w:rsidRPr="00845CC1">
        <w:rPr>
          <w:bCs/>
        </w:rPr>
        <w:t>MONEYVAL, приети в рамките на Петия кръг за оценка на България.</w:t>
      </w:r>
    </w:p>
    <w:p w:rsidR="00845CC1" w:rsidRPr="00845CC1" w:rsidRDefault="00845CC1" w:rsidP="00845CC1">
      <w:pPr>
        <w:spacing w:after="120"/>
        <w:ind w:firstLine="720"/>
        <w:rPr>
          <w:rFonts w:eastAsia="Calibri"/>
          <w:b/>
          <w:u w:val="single"/>
        </w:rPr>
      </w:pPr>
      <w:r w:rsidRPr="00845CC1">
        <w:rPr>
          <w:rFonts w:eastAsia="Calibri"/>
          <w:b/>
          <w:u w:val="single"/>
        </w:rPr>
        <w:t>3. Същност на законодателните промени:</w:t>
      </w:r>
    </w:p>
    <w:p w:rsidR="00845CC1" w:rsidRPr="00845CC1" w:rsidRDefault="00845CC1" w:rsidP="00845CC1">
      <w:pPr>
        <w:spacing w:after="120"/>
        <w:ind w:firstLine="720"/>
        <w:rPr>
          <w:b/>
        </w:rPr>
      </w:pPr>
      <w:r w:rsidRPr="00845CC1">
        <w:rPr>
          <w:b/>
        </w:rPr>
        <w:t>3.1. Предложените изменения и допълнения в Наказателния кодекс (НК) се свеждат до следното</w:t>
      </w:r>
      <w:r w:rsidR="00A82472">
        <w:rPr>
          <w:b/>
        </w:rPr>
        <w:t>:</w:t>
      </w:r>
    </w:p>
    <w:p w:rsidR="00845CC1" w:rsidRDefault="00845CC1" w:rsidP="00845CC1">
      <w:pPr>
        <w:spacing w:after="120"/>
        <w:ind w:firstLine="720"/>
      </w:pPr>
      <w:r w:rsidRPr="00845CC1">
        <w:t xml:space="preserve">Уеднаквява се </w:t>
      </w:r>
      <w:r>
        <w:t>режим</w:t>
      </w:r>
      <w:r w:rsidR="004E3AF0">
        <w:t xml:space="preserve">ът </w:t>
      </w:r>
      <w:r>
        <w:t>на наказателна отговорност и размер</w:t>
      </w:r>
      <w:r w:rsidR="00A9085D">
        <w:t xml:space="preserve">ът </w:t>
      </w:r>
      <w:r>
        <w:t>на предвидените наказателни санкции в случаите, в които съставите – основни и квалифицирани, на пасивния и активния подкуп са осъществени от чуждо длъжностно лице, по смисъла на чл. 93, т. 15 НК с тези, в които подкупът е осъществен от длъжност</w:t>
      </w:r>
      <w:r w:rsidR="003622D4">
        <w:t>но</w:t>
      </w:r>
      <w:r>
        <w:t xml:space="preserve"> лице, по смисъла на чл. 93, т. 1 НК. По този начин се отстранява неравноправното третиране на длъжностното лице и чуждото длъжностно лице, в случай на осъществени квалифицирани състави на пасивен и активен подкуп. Това се постига като се предвижда субектът на съставите на престъпления по чл. 301, ал. 1 – 3, чл. 304, ал. 1 – 3 и чл. 304а НК да е длъжностно лице или чуждо длъжностно лице.</w:t>
      </w:r>
    </w:p>
    <w:p w:rsidR="00845CC1" w:rsidRDefault="00845CC1" w:rsidP="00845CC1">
      <w:pPr>
        <w:spacing w:after="120"/>
        <w:ind w:firstLine="720"/>
      </w:pPr>
      <w:r>
        <w:t xml:space="preserve">В отговор на </w:t>
      </w:r>
      <w:r w:rsidRPr="00845CC1">
        <w:t>критики</w:t>
      </w:r>
      <w:r>
        <w:t>те</w:t>
      </w:r>
      <w:r w:rsidRPr="00845CC1">
        <w:t xml:space="preserve"> на Работната група за борба с подкупването на ОИСР относно материалната уредба на подкупа на чуждо длъжностно лице</w:t>
      </w:r>
      <w:r>
        <w:t>, се създава нов състав на престъпление по чл. 30</w:t>
      </w:r>
      <w:r w:rsidR="008773B9">
        <w:t>1</w:t>
      </w:r>
      <w:r>
        <w:t xml:space="preserve">, ал. 5 НК, който инкриминира </w:t>
      </w:r>
      <w:r w:rsidR="00137383">
        <w:t xml:space="preserve">всяко поведение на </w:t>
      </w:r>
      <w:r w:rsidRPr="00845CC1">
        <w:t xml:space="preserve">длъжностното лице или </w:t>
      </w:r>
      <w:r w:rsidR="00137383">
        <w:t xml:space="preserve">на </w:t>
      </w:r>
      <w:r w:rsidRPr="00845CC1">
        <w:t>чуждото длъжностно лице</w:t>
      </w:r>
      <w:r w:rsidR="00137383">
        <w:t>, насочено</w:t>
      </w:r>
      <w:r w:rsidRPr="00845CC1">
        <w:t xml:space="preserve"> </w:t>
      </w:r>
      <w:r w:rsidR="00137383">
        <w:t xml:space="preserve">към </w:t>
      </w:r>
      <w:r w:rsidRPr="00845CC1">
        <w:t>иска</w:t>
      </w:r>
      <w:r w:rsidR="00137383">
        <w:t>не</w:t>
      </w:r>
      <w:r w:rsidRPr="00845CC1">
        <w:t xml:space="preserve"> или прием</w:t>
      </w:r>
      <w:r w:rsidR="00137383">
        <w:t>ане на</w:t>
      </w:r>
      <w:r w:rsidRPr="00845CC1">
        <w:t xml:space="preserve"> дар или каквато и да е облага, която не му се следва, или прием</w:t>
      </w:r>
      <w:r w:rsidR="00137383">
        <w:t>ане на</w:t>
      </w:r>
      <w:r w:rsidRPr="00845CC1">
        <w:t xml:space="preserve"> обещание за дар или облага, за да използва или загдето е използвало служебното си положение, извън </w:t>
      </w:r>
      <w:r w:rsidR="00137383">
        <w:t xml:space="preserve">хипотезите, в които се касае за извършване или неизвършване на </w:t>
      </w:r>
      <w:r w:rsidR="00137383" w:rsidRPr="00137383">
        <w:t>действие по служба или загдето е извърш</w:t>
      </w:r>
      <w:r w:rsidR="00137383">
        <w:t>ено</w:t>
      </w:r>
      <w:r w:rsidR="00137383" w:rsidRPr="00137383">
        <w:t xml:space="preserve"> или не е извърш</w:t>
      </w:r>
      <w:r w:rsidR="00137383">
        <w:t>ено</w:t>
      </w:r>
      <w:r w:rsidR="00137383" w:rsidRPr="00137383">
        <w:t xml:space="preserve"> такова действие</w:t>
      </w:r>
      <w:r w:rsidR="00137383">
        <w:t xml:space="preserve">. Създава се и кореспондиращия състав на активен подкуп (в чл. 304, ал. 3 НК). По този начин се инкриминира </w:t>
      </w:r>
      <w:r w:rsidRPr="00845CC1">
        <w:t xml:space="preserve">всяко </w:t>
      </w:r>
      <w:r w:rsidRPr="00845CC1">
        <w:lastRenderedPageBreak/>
        <w:t>използване на положението на длъжностното лице, независимо дали попада в разрешената компетентност на служителя или излиза извън нея</w:t>
      </w:r>
      <w:r w:rsidR="00137383">
        <w:t>, по повод на което е приета или поискана неследваща се облага.</w:t>
      </w:r>
    </w:p>
    <w:p w:rsidR="00137383" w:rsidRDefault="00137383" w:rsidP="00845CC1">
      <w:pPr>
        <w:spacing w:after="120"/>
        <w:ind w:firstLine="720"/>
      </w:pPr>
      <w:r>
        <w:t>Предвижда се – със съответните изменения на чл. 301, ал. 1 НК, деянието да е съставомерно като пасивен подкуп не само когато деецът</w:t>
      </w:r>
      <w:r w:rsidRPr="00137383">
        <w:t xml:space="preserve"> поиска или приеме дар или каквато и да е облага, която не му се следва, или приеме предложение или обещание за дар или облага </w:t>
      </w:r>
      <w:r>
        <w:t>за себе си, но и за друго лице – физическо или юридическо такова, като по този начин отпада изискването, визирано в актуалния чл. 304в от НК, за предварително съгласие на субекта на подкупа дарът или облагата да бъдат п</w:t>
      </w:r>
      <w:r w:rsidRPr="00137383">
        <w:t>редложени, обещани или дадени другиму</w:t>
      </w:r>
      <w:r>
        <w:t xml:space="preserve">. По този начин се разширява обхватът на престъплението подкуп, като се обхващат и случаите, в които дарът или облагата се искат или получават от друго лице, без да е необходимо предварителното съгласие на субекта на подкупа. Съответни изменения се предвиждат и в </w:t>
      </w:r>
      <w:r w:rsidR="00C00F65">
        <w:t xml:space="preserve">уредбата </w:t>
      </w:r>
      <w:r>
        <w:t>на активния подкуп по чл. 304 НК.</w:t>
      </w:r>
    </w:p>
    <w:p w:rsidR="00845CC1" w:rsidRDefault="00845CC1" w:rsidP="00845CC1">
      <w:pPr>
        <w:spacing w:after="120"/>
        <w:ind w:firstLine="720"/>
        <w:rPr>
          <w:b/>
        </w:rPr>
      </w:pPr>
      <w:r w:rsidRPr="005A0139">
        <w:rPr>
          <w:b/>
        </w:rPr>
        <w:t>3.2. Предложените изменения и допълнения на Наказателно-процесуалния кодекс (НПК)</w:t>
      </w:r>
      <w:r w:rsidR="005A0139" w:rsidRPr="005A0139">
        <w:rPr>
          <w:b/>
        </w:rPr>
        <w:t xml:space="preserve"> </w:t>
      </w:r>
      <w:r w:rsidRPr="005A0139">
        <w:rPr>
          <w:b/>
        </w:rPr>
        <w:t>се свеждат до следното</w:t>
      </w:r>
      <w:r w:rsidR="00A9085D">
        <w:rPr>
          <w:b/>
        </w:rPr>
        <w:t>:</w:t>
      </w:r>
    </w:p>
    <w:p w:rsidR="005A0139" w:rsidRDefault="005A0139" w:rsidP="000777AB">
      <w:pPr>
        <w:spacing w:after="120"/>
        <w:ind w:firstLine="720"/>
      </w:pPr>
      <w:r w:rsidRPr="005A0139">
        <w:t xml:space="preserve">За пръв път </w:t>
      </w:r>
      <w:r>
        <w:t xml:space="preserve">в българското наказателнопроцесуално право се въвежда принципното положение, че отговорността на юридическото лице при извършено </w:t>
      </w:r>
      <w:r w:rsidRPr="00E24149">
        <w:t>престъпление,</w:t>
      </w:r>
      <w:r>
        <w:t xml:space="preserve"> </w:t>
      </w:r>
      <w:r w:rsidR="00F512C2">
        <w:t xml:space="preserve">което е сред </w:t>
      </w:r>
      <w:r>
        <w:t xml:space="preserve">посочените в чл. 83а, ал. 1 или 2 ЗАНН, следва да се реализира в рамките на наказателното производство, водено срещу физическото лице, обвинено за извършеното престъпление. По този начин се </w:t>
      </w:r>
      <w:r w:rsidR="000777AB">
        <w:t>съобразява тълкуването на чл. 48 от Хартата на основните права на Европейския съюз, дадено с Р</w:t>
      </w:r>
      <w:r w:rsidR="000777AB" w:rsidRPr="000777AB">
        <w:t xml:space="preserve">ешението на Съда на ЕС по дело С-203/21 </w:t>
      </w:r>
      <w:r w:rsidR="000777AB">
        <w:t>„ДЕЛТА СТРОЙ 2003“ от 10 ноември 2022 г., в смисъл, че не</w:t>
      </w:r>
      <w:r w:rsidR="00BB662C">
        <w:t xml:space="preserve"> се </w:t>
      </w:r>
      <w:r w:rsidR="000777AB">
        <w:t>допуска национална правна уредба, съгласно която националният съд може да наложи на юридическо лице наказателна санкция за престъпление, за което евентуално е отговорно физическо лице, овластено да формира волята на това юридическо лице или да го представлява, в случай че на последното не е била дадена възможност да оспори действителното извършване на престъплението. Създават се правни гаранции за еднакво произнасяне по отношение</w:t>
      </w:r>
      <w:r w:rsidR="00877074">
        <w:t xml:space="preserve"> на </w:t>
      </w:r>
      <w:r w:rsidR="000777AB">
        <w:t xml:space="preserve"> вината и отговорността на подсъдимото физическо лице и отговорността на юридическото лице, с което се избягва необходимостта от иницииране на производство по възобновяване на делата. Постига се и процесуална икономия, тъй като</w:t>
      </w:r>
      <w:r w:rsidR="00877074">
        <w:t xml:space="preserve"> се предвижда </w:t>
      </w:r>
      <w:r w:rsidR="000777AB">
        <w:t>производството срещу физическото и юридическото лице да е единно.</w:t>
      </w:r>
    </w:p>
    <w:p w:rsidR="000777AB" w:rsidRDefault="000777AB" w:rsidP="000777AB">
      <w:pPr>
        <w:spacing w:after="120"/>
        <w:ind w:firstLine="720"/>
      </w:pPr>
      <w:r>
        <w:t>С оглед изпълнение на посочените цели, в НПК се въвежда процесуалната фигура на заинтересованото юридическо лице. Съгласно предлагания текст на чл. 73б от НПК, юридическото лице, спрямо което са налице основанията за налагане на санкция по чл. 83а ЗАНН, участва в съдебното производство като заинтересовано юридическо лице. Предвижда се</w:t>
      </w:r>
      <w:r w:rsidR="00E24149">
        <w:t>,</w:t>
      </w:r>
      <w:r>
        <w:t xml:space="preserve"> ако до започване на съдебното производство или след това юридическото лице бъде заличено, в производството </w:t>
      </w:r>
      <w:r w:rsidR="00E24149">
        <w:t xml:space="preserve">да </w:t>
      </w:r>
      <w:r>
        <w:t xml:space="preserve">участва неговият правоприемник, когато има такъв. Регламентират се и правата на заинтересованото юридическо лице в съдебната фаза на производството – в чл. 73в. </w:t>
      </w:r>
    </w:p>
    <w:p w:rsidR="000777AB" w:rsidRPr="005A0139" w:rsidRDefault="000777AB" w:rsidP="000777AB">
      <w:pPr>
        <w:spacing w:after="120"/>
        <w:ind w:firstLine="720"/>
      </w:pPr>
      <w:r>
        <w:lastRenderedPageBreak/>
        <w:t>Предвижда се заинтересованото юридическо лице да се представлява в производството от повереник. Изрично се регламентира, че съдът му назначава особен представител – адвокат, в случай че законният представител или някой от законните представители на заинтересованото юридическо лице: 1. е подсъдим по делото или обвиняем в друго наказателно производство за престъплението, във връзка с което юридическото лице участва в производството;</w:t>
      </w:r>
      <w:r w:rsidR="00EF787C">
        <w:t xml:space="preserve"> </w:t>
      </w:r>
      <w:r>
        <w:t>2. е лице, спрямо което производството за престъплението е спряно, прекратено или завършено с влязла в сила присъда</w:t>
      </w:r>
      <w:r w:rsidR="00EF787C">
        <w:t>.</w:t>
      </w:r>
    </w:p>
    <w:p w:rsidR="000777AB" w:rsidRDefault="00845CC1" w:rsidP="000777AB">
      <w:pPr>
        <w:tabs>
          <w:tab w:val="left" w:pos="4230"/>
        </w:tabs>
        <w:spacing w:after="120"/>
        <w:ind w:firstLine="720"/>
      </w:pPr>
      <w:r w:rsidRPr="000777AB">
        <w:t xml:space="preserve"> </w:t>
      </w:r>
      <w:r w:rsidR="00EF787C">
        <w:t xml:space="preserve">Предвижда се производството срещу юридическото лице при извършено престъпление по чл. 83а, ал. 1 или 2 от ЗАНН, да се инициира въз основа на </w:t>
      </w:r>
      <w:r w:rsidR="00EF787C" w:rsidRPr="00EF787C">
        <w:t xml:space="preserve">мотивирано предложение </w:t>
      </w:r>
      <w:r w:rsidR="00EF787C">
        <w:t xml:space="preserve">от прокурора </w:t>
      </w:r>
      <w:r w:rsidR="00EF787C" w:rsidRPr="00EF787C">
        <w:t>за налагане на санкция на заинтересованото юридическо лице</w:t>
      </w:r>
      <w:r w:rsidR="00EF787C">
        <w:t xml:space="preserve"> – приложение към обвинителния акт срещу физическото лице, обвинено за съответното престъпление, като се регламентират и минимално изискуеми реквизити към предложението.</w:t>
      </w:r>
      <w:r w:rsidR="00EF787C" w:rsidRPr="00EF787C">
        <w:t xml:space="preserve"> </w:t>
      </w:r>
      <w:r w:rsidR="00EF787C">
        <w:t>Предлага се</w:t>
      </w:r>
      <w:r w:rsidR="001A5B3D">
        <w:t>,</w:t>
      </w:r>
      <w:r w:rsidR="00EF787C">
        <w:t xml:space="preserve"> к</w:t>
      </w:r>
      <w:r w:rsidR="00EF787C" w:rsidRPr="00EF787C">
        <w:t xml:space="preserve">огато обвинението е за престъпление, посочено в чл. 83а </w:t>
      </w:r>
      <w:r w:rsidR="00EF787C">
        <w:t>ЗАНН</w:t>
      </w:r>
      <w:r w:rsidR="00EF787C" w:rsidRPr="00EF787C">
        <w:t xml:space="preserve">, и към обвинителния акт е приложено мотивирано предложение за налагане на санкция на заинтересованото юридическо лице, по разпореждане на съдията </w:t>
      </w:r>
      <w:r w:rsidR="00EF787C">
        <w:t>–</w:t>
      </w:r>
      <w:r w:rsidR="00EF787C" w:rsidRPr="00EF787C">
        <w:t xml:space="preserve"> докладчик препис от обвинителния акт и от предложението по чл. 246, ал. 5 </w:t>
      </w:r>
      <w:r w:rsidR="00EF787C">
        <w:t xml:space="preserve">да </w:t>
      </w:r>
      <w:r w:rsidR="00EF787C" w:rsidRPr="00EF787C">
        <w:t xml:space="preserve">се връчва и на заинтересованото юридическо лице, като с връчването </w:t>
      </w:r>
      <w:r w:rsidR="00EF787C">
        <w:t xml:space="preserve">да </w:t>
      </w:r>
      <w:r w:rsidR="00EF787C" w:rsidRPr="00EF787C">
        <w:t>му се съобщава за насрочването на разпоредителното заседание и за въпросите по чл. 248, ал. 1, за правото му да се яви с повереник и за възможността да му бъде назначен повереник или особен представител в случаите по чл. 100, ал. 2 и чл. 101а</w:t>
      </w:r>
      <w:r w:rsidR="00EF787C">
        <w:t xml:space="preserve"> НПК</w:t>
      </w:r>
      <w:r w:rsidR="00EF787C" w:rsidRPr="00EF787C">
        <w:t>, както и че неявяването му не е пречка за разглеждането и решаването на делото</w:t>
      </w:r>
      <w:r w:rsidR="00EF787C">
        <w:t>.</w:t>
      </w:r>
    </w:p>
    <w:p w:rsidR="00EF787C" w:rsidRDefault="00EF787C" w:rsidP="00EF787C">
      <w:pPr>
        <w:tabs>
          <w:tab w:val="left" w:pos="4230"/>
        </w:tabs>
        <w:spacing w:after="120"/>
        <w:ind w:firstLine="720"/>
      </w:pPr>
      <w:r>
        <w:t xml:space="preserve">Регламентират се последиците от </w:t>
      </w:r>
      <w:r w:rsidRPr="00EF787C">
        <w:t>прекратява</w:t>
      </w:r>
      <w:r>
        <w:t>нето</w:t>
      </w:r>
      <w:r w:rsidRPr="00EF787C">
        <w:t xml:space="preserve"> </w:t>
      </w:r>
      <w:r>
        <w:t xml:space="preserve">на </w:t>
      </w:r>
      <w:r w:rsidRPr="00EF787C">
        <w:t xml:space="preserve">наказателното производство, образувано по обвинителен акт, към който е приложено мотивирано предложение за налагане на санкция на заинтересовано юридическо лице, </w:t>
      </w:r>
      <w:r>
        <w:t xml:space="preserve">а именно – задължението на </w:t>
      </w:r>
      <w:r w:rsidRPr="00EF787C">
        <w:t>съд</w:t>
      </w:r>
      <w:r>
        <w:t>а да</w:t>
      </w:r>
      <w:r w:rsidRPr="00EF787C">
        <w:t xml:space="preserve"> изпра</w:t>
      </w:r>
      <w:r>
        <w:t>ти</w:t>
      </w:r>
      <w:r w:rsidRPr="00EF787C">
        <w:t xml:space="preserve"> делото</w:t>
      </w:r>
      <w:r>
        <w:t>,</w:t>
      </w:r>
      <w:r w:rsidRPr="00EF787C">
        <w:t xml:space="preserve"> заедно с веществените доказателства</w:t>
      </w:r>
      <w:r>
        <w:t>,</w:t>
      </w:r>
      <w:r w:rsidRPr="00EF787C">
        <w:t xml:space="preserve"> по компетентност на съответния прокурор за внасяне на предложение по реда на чл. 83б </w:t>
      </w:r>
      <w:r>
        <w:t>ЗАНН. Предвиждат се и хипотези на прекратяване на наказателното производство само по отношение на заинтересованото юридическо лице, а именно, когато административнонаказателната му отговорност е погасена поради изтичането на предвидената в закона давност и когато  юридическото лице бъде заличено в съответния регистър.</w:t>
      </w:r>
    </w:p>
    <w:p w:rsidR="00EF787C" w:rsidRDefault="00EF787C" w:rsidP="00EF787C">
      <w:pPr>
        <w:tabs>
          <w:tab w:val="left" w:pos="4230"/>
        </w:tabs>
        <w:spacing w:after="120"/>
        <w:ind w:firstLine="720"/>
      </w:pPr>
      <w:r>
        <w:t>Предлага се детайлна уредба на д</w:t>
      </w:r>
      <w:r w:rsidRPr="00EF787C">
        <w:t>опълнително</w:t>
      </w:r>
      <w:r>
        <w:t>то</w:t>
      </w:r>
      <w:r w:rsidRPr="00EF787C">
        <w:t xml:space="preserve"> съдържание на присъдата при участие на заинтересовано юридическо лице </w:t>
      </w:r>
      <w:r>
        <w:t>и на в</w:t>
      </w:r>
      <w:r w:rsidRPr="00EF787C">
        <w:t>ъпроси</w:t>
      </w:r>
      <w:r>
        <w:t>те</w:t>
      </w:r>
      <w:r w:rsidRPr="00EF787C">
        <w:t xml:space="preserve"> за отговорността на заинтересованото юридическо лице, по които съдът може да се произнесе и с определение</w:t>
      </w:r>
      <w:r>
        <w:t>. Предвиждат се правила за присъждане на разноски в случаите, в които в производството като страна участва заинтер</w:t>
      </w:r>
      <w:r w:rsidR="00A9025C">
        <w:t>е</w:t>
      </w:r>
      <w:r>
        <w:t>совано юридическо лице.</w:t>
      </w:r>
    </w:p>
    <w:p w:rsidR="00A9025C" w:rsidRDefault="00A9025C" w:rsidP="00A9025C">
      <w:pPr>
        <w:tabs>
          <w:tab w:val="left" w:pos="4230"/>
        </w:tabs>
        <w:spacing w:after="120"/>
        <w:ind w:firstLine="720"/>
      </w:pPr>
      <w:r>
        <w:t>Дава се подробна уредба на правомощията на въззивната и касационна инстанции по наказателни дела, когато в производството участва заинтересовано юридическо лице. Регламентира се възможността в някои хипотези заинтересованото юридическо лице да може да прави искане за възобновяване на наказателното дело.</w:t>
      </w:r>
    </w:p>
    <w:p w:rsidR="00A9025C" w:rsidRDefault="00A9025C" w:rsidP="00A9025C">
      <w:pPr>
        <w:tabs>
          <w:tab w:val="left" w:pos="4230"/>
        </w:tabs>
        <w:spacing w:after="120"/>
        <w:ind w:firstLine="720"/>
      </w:pPr>
      <w:r>
        <w:lastRenderedPageBreak/>
        <w:t>Регламентират се правата на заинтер</w:t>
      </w:r>
      <w:r w:rsidR="005639CF">
        <w:t xml:space="preserve">есованото </w:t>
      </w:r>
      <w:r>
        <w:t xml:space="preserve">юридическо лице в случаите, в които съдебното производство се развива по диференцираните наказателни процедури по </w:t>
      </w:r>
      <w:r w:rsidR="00A616DD">
        <w:t>г</w:t>
      </w:r>
      <w:r>
        <w:t xml:space="preserve">лава двадесет и седма, „Съкратено съдебно следствие в производството пред първата инстанция“, </w:t>
      </w:r>
      <w:r w:rsidR="002C7A04">
        <w:t>г</w:t>
      </w:r>
      <w:r>
        <w:t>лава двадесет и осма, „О</w:t>
      </w:r>
      <w:r w:rsidRPr="00A9025C">
        <w:t>свобождаване от наказателна отговорност с налагане на административно наказание</w:t>
      </w:r>
      <w:r>
        <w:t xml:space="preserve">“ и </w:t>
      </w:r>
      <w:r w:rsidR="002C7A04">
        <w:t>г</w:t>
      </w:r>
      <w:r>
        <w:t>лава двадесет и девета от НПК, „Р</w:t>
      </w:r>
      <w:r w:rsidRPr="00A9025C">
        <w:t>ешаване на делото със споразумение</w:t>
      </w:r>
      <w:r>
        <w:t>“. По този начин се създава цялост</w:t>
      </w:r>
      <w:r w:rsidR="001B2C3F">
        <w:t>на</w:t>
      </w:r>
      <w:r>
        <w:t xml:space="preserve"> и завършен</w:t>
      </w:r>
      <w:r w:rsidR="001B2C3F">
        <w:t xml:space="preserve">а уредба </w:t>
      </w:r>
      <w:r>
        <w:t>на участието на заинтересованото юридическо лице в наказателното производство.</w:t>
      </w:r>
    </w:p>
    <w:p w:rsidR="00845CC1" w:rsidRPr="005A0139" w:rsidRDefault="00845CC1" w:rsidP="000777AB">
      <w:pPr>
        <w:tabs>
          <w:tab w:val="left" w:pos="4230"/>
        </w:tabs>
        <w:spacing w:after="120"/>
        <w:ind w:firstLine="720"/>
        <w:rPr>
          <w:b/>
        </w:rPr>
      </w:pPr>
      <w:r w:rsidRPr="00845CC1">
        <w:rPr>
          <w:b/>
        </w:rPr>
        <w:t xml:space="preserve">3.3. Предложените изменения и допълнения на Закона за административните нарушения и наказания </w:t>
      </w:r>
      <w:r w:rsidRPr="005A0139">
        <w:rPr>
          <w:b/>
        </w:rPr>
        <w:t xml:space="preserve">се </w:t>
      </w:r>
      <w:r w:rsidR="002C7A04">
        <w:rPr>
          <w:b/>
        </w:rPr>
        <w:t>свеждат до следното:</w:t>
      </w:r>
    </w:p>
    <w:p w:rsidR="00845CC1" w:rsidRPr="00845CC1" w:rsidRDefault="00845CC1" w:rsidP="00137383">
      <w:pPr>
        <w:spacing w:after="120"/>
        <w:ind w:firstLine="720"/>
      </w:pPr>
      <w:r w:rsidRPr="00845CC1">
        <w:t>За пръв път със законопроекта се регламентира възможността за образуване на производство за реализ</w:t>
      </w:r>
      <w:r w:rsidR="00A410D9">
        <w:t xml:space="preserve">иране </w:t>
      </w:r>
      <w:r w:rsidRPr="00845CC1">
        <w:t>на отговорността на юридическото лице в случаите, когато то е създадено или използвано от лице по чл. 83а, ал. 1, т. 1 – 4 ЗАНН за тероризъм, изпиране на пари или за престъпление, извършено по поръчение или в изпълнение на решение на организирана престъпна група. Предложеното изменение има за цел да позволи търсене на административнонаказателна отговорност от юридическите лица</w:t>
      </w:r>
      <w:r w:rsidR="00E23A3A">
        <w:t>,</w:t>
      </w:r>
      <w:r w:rsidRPr="00845CC1">
        <w:t xml:space="preserve"> и когато не е налице облага от извършеното престъпление (което често се наблюдава в случаите, при които юридическите лица са използвани за насочване на средства за целите на изпирането на пари или финансирането на тероризъм). Обвързването на административнонаказателната отговорност с обогатяването на юридическото лице от престъплението</w:t>
      </w:r>
      <w:r w:rsidRPr="00845CC1" w:rsidDel="00CF3F38">
        <w:t xml:space="preserve"> </w:t>
      </w:r>
      <w:r w:rsidRPr="00845CC1">
        <w:t xml:space="preserve">според Комитета </w:t>
      </w:r>
      <w:r w:rsidRPr="00137383">
        <w:rPr>
          <w:bCs/>
        </w:rPr>
        <w:t>MONEYVAL противоречи на международните стандарти за борба с финансирането на тероризма и изпирането на пари и представлява сериозен недостатък на действащия режим по чл. 83а</w:t>
      </w:r>
      <w:r w:rsidR="009A77AE">
        <w:rPr>
          <w:bCs/>
        </w:rPr>
        <w:t xml:space="preserve"> </w:t>
      </w:r>
      <w:r w:rsidRPr="00137383">
        <w:rPr>
          <w:bCs/>
        </w:rPr>
        <w:t>ЗАНН</w:t>
      </w:r>
      <w:r w:rsidR="009A77AE">
        <w:rPr>
          <w:bCs/>
        </w:rPr>
        <w:t>, който се цели да бъде отстранен със законодателното изменение.</w:t>
      </w:r>
    </w:p>
    <w:p w:rsidR="00845CC1" w:rsidRPr="00845CC1" w:rsidRDefault="00845CC1" w:rsidP="00845CC1">
      <w:pPr>
        <w:spacing w:after="120"/>
        <w:ind w:firstLine="720"/>
      </w:pPr>
      <w:r w:rsidRPr="00845CC1">
        <w:t>За да се отговори на критиките на Работната група за борба с подкупването на чужди длъжностни лица към ОИСР, че имуществените санкции за юридическите лица по чл. 83а ЗАНН не са достатъчно ефективни, пропорционални и възпиращи, в законопроекта се предлага нов алгоритъм на определяне на техния размер. За улеснение на правоприлагането при индивидуализацията на имуществената санкция в проекта е заложено диференциране на размера на санкцията в зависимост от равностойността на облагата, както следва:</w:t>
      </w:r>
      <w:r w:rsidR="009A77AE">
        <w:t xml:space="preserve"> </w:t>
      </w:r>
      <w:r w:rsidRPr="00845CC1">
        <w:t>при размер на облагата до 100 000 лв. – максимална санкция до 1 000 000 лв., но не по-малка от равностойността на облагата;</w:t>
      </w:r>
      <w:r w:rsidR="009A77AE">
        <w:t xml:space="preserve"> </w:t>
      </w:r>
      <w:r w:rsidRPr="00845CC1">
        <w:t>при размер на облагата до 250 000 лв. – максимална санкция до 2 500 000 лв., но не по-малка от равностойността на облагата;</w:t>
      </w:r>
      <w:r w:rsidR="009A77AE">
        <w:t xml:space="preserve"> </w:t>
      </w:r>
      <w:r w:rsidRPr="00845CC1">
        <w:t xml:space="preserve">при размер на облагата до 500 000 лв. </w:t>
      </w:r>
      <w:r w:rsidR="009A77AE">
        <w:t>–</w:t>
      </w:r>
      <w:r w:rsidRPr="00845CC1">
        <w:t xml:space="preserve"> максимална санкция до 5 000 000 лв., но не по-малка от равностойността на облагата;</w:t>
      </w:r>
      <w:r w:rsidR="009A77AE">
        <w:t xml:space="preserve"> </w:t>
      </w:r>
      <w:r w:rsidRPr="00845CC1">
        <w:t xml:space="preserve">при размер на облагата над 500 000 лв. </w:t>
      </w:r>
      <w:r w:rsidR="009A77AE">
        <w:t>–</w:t>
      </w:r>
      <w:r w:rsidRPr="00845CC1">
        <w:t xml:space="preserve"> максимална санкция до 10 000 000 лв., но не по-малка от равностойността на облагата. Когато равностойността на облагата надвишава 10 000 000 лв., на юридическото лице се налага имуществена санкция в по-високия размер между равностойността на облагата и 5 на сто от годишния оборот на юридическото лице за годината, предхождаща тази, в която е извършено престъплението.</w:t>
      </w:r>
      <w:r w:rsidR="009A77AE">
        <w:t xml:space="preserve"> К</w:t>
      </w:r>
      <w:r w:rsidRPr="00845CC1">
        <w:t>огато облагата няма имуществен характер или размерът и не може да се установи</w:t>
      </w:r>
      <w:r w:rsidR="003F5F46">
        <w:t>,</w:t>
      </w:r>
      <w:r w:rsidRPr="00845CC1">
        <w:t xml:space="preserve"> </w:t>
      </w:r>
      <w:r w:rsidR="009A77AE">
        <w:t xml:space="preserve">предвидената санкция е </w:t>
      </w:r>
      <w:r w:rsidRPr="00845CC1">
        <w:t xml:space="preserve">от 5 000 до 5 000 000 лв., но не по-малка </w:t>
      </w:r>
      <w:r w:rsidRPr="00845CC1">
        <w:lastRenderedPageBreak/>
        <w:t xml:space="preserve">от 5 на сто от годишния оборот на юридическото лице за годината, предхождаща тази, в която е извършено престъплението. </w:t>
      </w:r>
    </w:p>
    <w:p w:rsidR="009A77AE" w:rsidRDefault="009A77AE" w:rsidP="00845CC1">
      <w:pPr>
        <w:spacing w:after="120"/>
        <w:ind w:firstLine="720"/>
      </w:pPr>
      <w:r>
        <w:t xml:space="preserve">За пръв път в действащото законодателство в областта на отговорността на юридическите лица при извършено престъпление се предвижда </w:t>
      </w:r>
      <w:r w:rsidR="00845CC1" w:rsidRPr="00845CC1">
        <w:t xml:space="preserve">възможност съдът да наложи на юридическото лице и допълнителни неимуществени санкции, наред с имуществената санкция. Въвеждането на тези санкции имат за цел да </w:t>
      </w:r>
      <w:r>
        <w:t xml:space="preserve">се </w:t>
      </w:r>
      <w:r w:rsidR="00845CC1" w:rsidRPr="00845CC1">
        <w:t>засили възпиращия ефект на санкционния режим и да попречи на санкционираните юридически лица да черпят права от своето противоправно поведение. Като възможни допълни</w:t>
      </w:r>
      <w:r w:rsidR="00442044">
        <w:t xml:space="preserve">телни </w:t>
      </w:r>
      <w:r w:rsidR="00845CC1" w:rsidRPr="00845CC1">
        <w:t>санкции в проекта са предложени временна забрана за участие в процедури за възлагане на обществени поръчки или концесии; временна забрана за участие в процедури за получаване на средства на Европейския съюз; временна забрана да се получават данъчни облекчения, субсидии и безвъзмездни средства от държавния или общинския бюджет. Тези санкции могат да бъдат с продължителност от една до три години, като за налагането им ще бъдат уведомявани Агенцията по обществените поръчки, дирекция „Координация на политики и концесии“ в администрацията на М</w:t>
      </w:r>
      <w:r w:rsidR="00157BAA">
        <w:t xml:space="preserve">инистерския съвет </w:t>
      </w:r>
      <w:r w:rsidR="00845CC1" w:rsidRPr="00845CC1">
        <w:t xml:space="preserve">и Националната агенция по приходите. Предлага се в каталога на допълнителните санкции да бъде включено и публичното оповестяване на съдебното решение по подобие на общественото порицание. Предложението за въвеждане на допълнителни санкции, които да могат да се налагат </w:t>
      </w:r>
      <w:r>
        <w:t>наред</w:t>
      </w:r>
      <w:r w:rsidR="00845CC1" w:rsidRPr="00845CC1">
        <w:t xml:space="preserve"> с имуществената санкция, </w:t>
      </w:r>
      <w:r>
        <w:t xml:space="preserve">е </w:t>
      </w:r>
      <w:r w:rsidR="003A4D4D">
        <w:t xml:space="preserve">съобразено с препоръките </w:t>
      </w:r>
      <w:r w:rsidR="00845CC1" w:rsidRPr="00845CC1">
        <w:t xml:space="preserve">на </w:t>
      </w:r>
      <w:r w:rsidR="00845CC1" w:rsidRPr="004752D1">
        <w:t xml:space="preserve">Работната група за борба с подкупването на чужди длъжностни лица, освен имуществени санкции </w:t>
      </w:r>
      <w:r w:rsidR="002C7A04" w:rsidRPr="004752D1">
        <w:t xml:space="preserve">в </w:t>
      </w:r>
      <w:r w:rsidR="00845CC1" w:rsidRPr="004752D1">
        <w:t xml:space="preserve">чл. 83а ЗАНН </w:t>
      </w:r>
      <w:r w:rsidRPr="004752D1">
        <w:t xml:space="preserve">да се предвидят и </w:t>
      </w:r>
      <w:r w:rsidR="00845CC1" w:rsidRPr="004752D1">
        <w:t>друг вид санкции за юридическите лица, като например</w:t>
      </w:r>
      <w:r w:rsidR="00845CC1" w:rsidRPr="004752D1">
        <w:rPr>
          <w:i/>
        </w:rPr>
        <w:t xml:space="preserve"> </w:t>
      </w:r>
      <w:r w:rsidR="00845CC1" w:rsidRPr="004752D1">
        <w:t>временно лишаване на юридическите лица от правото да се ползват от държавно подпомагане или помощи, изключване от процедури за възлагане на обществени поръчки в подходяща степен.</w:t>
      </w:r>
      <w:r w:rsidR="00845CC1" w:rsidRPr="00845CC1">
        <w:t xml:space="preserve"> </w:t>
      </w:r>
    </w:p>
    <w:p w:rsidR="009A77AE" w:rsidRPr="00845CC1" w:rsidRDefault="009A77AE" w:rsidP="009A77AE">
      <w:pPr>
        <w:spacing w:after="120"/>
        <w:ind w:firstLine="720"/>
      </w:pPr>
      <w:r w:rsidRPr="00845CC1">
        <w:t xml:space="preserve">С оглед </w:t>
      </w:r>
      <w:r w:rsidR="002C7A04">
        <w:t xml:space="preserve">на </w:t>
      </w:r>
      <w:r w:rsidRPr="00845CC1">
        <w:t xml:space="preserve">възможността за по-прецизно индивидуализиране на </w:t>
      </w:r>
      <w:r>
        <w:t>ви</w:t>
      </w:r>
      <w:r w:rsidR="00442044">
        <w:t>д</w:t>
      </w:r>
      <w:r>
        <w:t xml:space="preserve">а и </w:t>
      </w:r>
      <w:r w:rsidRPr="00845CC1">
        <w:t xml:space="preserve">размера на </w:t>
      </w:r>
      <w:r>
        <w:t>следващата се на юридическото лице</w:t>
      </w:r>
      <w:r w:rsidRPr="00845CC1">
        <w:t xml:space="preserve"> санкция се предлага въвеждането на още едно обстоятелство, което да бъде съобразено от съда при преценка на размера на имуществената санкция в пределите, предвидени в закона – предходното санкциониране на юридическото лице по реда на чл. 83а, ал. 1 и 2</w:t>
      </w:r>
      <w:r w:rsidR="00F81317">
        <w:t xml:space="preserve"> </w:t>
      </w:r>
      <w:r w:rsidRPr="00845CC1">
        <w:t xml:space="preserve">ЗАНН. По този начин уредбата на института на отговорността на юридическите лица ще даде възможност на съдилищата да прилагат ясни критерии при преценка на следващата се на юридическото лице санкция. </w:t>
      </w:r>
    </w:p>
    <w:p w:rsidR="00845CC1" w:rsidRPr="00845CC1" w:rsidRDefault="009A77AE" w:rsidP="00845CC1">
      <w:pPr>
        <w:spacing w:after="120"/>
        <w:ind w:firstLine="720"/>
      </w:pPr>
      <w:r>
        <w:t xml:space="preserve">Създават се </w:t>
      </w:r>
      <w:r w:rsidRPr="009A77AE">
        <w:t>правила за оповестяване на наложените санкции на юридическите лица, които са се обогатили или биха могли да се обогатят от извършено престъпление или са създадени или използвани за извършване на определени престъпления, с цел, от една страна, да не се допуснат злоупотреби при преобразуване на същите, а от друга – да се  упражни по-еф</w:t>
      </w:r>
      <w:r w:rsidR="004752D1">
        <w:t xml:space="preserve">ективно </w:t>
      </w:r>
      <w:r w:rsidRPr="009A77AE">
        <w:t>превантивно въздействие по отношение на лицата, представляващи и управляващи юридически лица</w:t>
      </w:r>
      <w:r w:rsidR="002C7A04">
        <w:t>.</w:t>
      </w:r>
    </w:p>
    <w:p w:rsidR="00845CC1" w:rsidRPr="009A77AE" w:rsidRDefault="009A77AE" w:rsidP="009A77AE">
      <w:pPr>
        <w:spacing w:after="120"/>
        <w:ind w:firstLine="720"/>
        <w:rPr>
          <w:i/>
        </w:rPr>
      </w:pPr>
      <w:r>
        <w:t xml:space="preserve">Възможно е </w:t>
      </w:r>
      <w:r w:rsidR="00845CC1" w:rsidRPr="00845CC1">
        <w:t xml:space="preserve">юридическото лице да се е обогатило от две или повече престъпления, или да е създадено или използвано за извършване на две или повече престъпления, </w:t>
      </w:r>
      <w:r w:rsidR="00845CC1" w:rsidRPr="00845CC1">
        <w:lastRenderedPageBreak/>
        <w:t xml:space="preserve">извършени от едно или повече физически лица измежду субектите, посочени в член 83а, ал.1 ЗАНН. На законодателно ниво обаче </w:t>
      </w:r>
      <w:r>
        <w:t xml:space="preserve">и до момента </w:t>
      </w:r>
      <w:r w:rsidR="00845CC1" w:rsidRPr="00845CC1">
        <w:t>не е разрешен въпросът дали в тези случаи на юридическото лице следва да се наложи една-единствена санкция или отделна санкция за всяко престъпление, пораждащо имуществена отговорност. В този смисъл със законопроекта се предлага съдът, след като определи имуществена санкция за всяко едно от престъпленията, да наложи най-тежката от тях. Този подход е установен и за</w:t>
      </w:r>
      <w:r w:rsidR="004752D1">
        <w:t xml:space="preserve"> физическите лица</w:t>
      </w:r>
      <w:r w:rsidR="00845CC1" w:rsidRPr="00845CC1">
        <w:t xml:space="preserve">, отговорни съгласно Наказателния кодекс. В случай на </w:t>
      </w:r>
      <w:r>
        <w:t>съвкупност от</w:t>
      </w:r>
      <w:r w:rsidR="00845CC1" w:rsidRPr="00845CC1">
        <w:t xml:space="preserve"> престъпления, след като определи наказание за всяко престъпление отделно, съдът налага най-тежкото от тях. По този начин е въведен принципът на „поглъщане“ на наказанията.</w:t>
      </w:r>
      <w:r w:rsidR="001C191B">
        <w:t xml:space="preserve"> </w:t>
      </w:r>
      <w:r w:rsidR="00845CC1" w:rsidRPr="00845CC1">
        <w:t>Допълнителните неимуществени санкции, ако бъдат наложени, се предвижда да се присъединяват към имуществената санкция.</w:t>
      </w:r>
    </w:p>
    <w:p w:rsidR="00845CC1" w:rsidRDefault="00845CC1" w:rsidP="009A77AE">
      <w:pPr>
        <w:spacing w:after="120"/>
        <w:ind w:firstLine="720"/>
      </w:pPr>
      <w:r w:rsidRPr="00845CC1">
        <w:t xml:space="preserve">Един от съществените недостатъци на действащата уредба на ЗАНН, констатирани и от Работната група за борба с подкупването на чужди длъжностни лица към ОИСР, е липсата на законова възможност за отнемане на предмета на престъплението от юридическото лице, в случаите когато същият не може да бъде отнет в рамките на наказателното производство срещу физическия извършител на престъплението (в хипотезите когато наказателното производство не може да бъде образувано или е прекратено). За да </w:t>
      </w:r>
      <w:r w:rsidR="00E56223">
        <w:t xml:space="preserve">съобрази тези </w:t>
      </w:r>
      <w:r w:rsidRPr="00845CC1">
        <w:t xml:space="preserve">критики, законопроектът предвижда институтът на отнемането да се прилага както по отношение на облагата от престъплението, така и по отношение на предмета на престъплението, ако не подлежи на връщане или възстановяване, или на отнемане </w:t>
      </w:r>
      <w:r w:rsidR="00EA6042">
        <w:t xml:space="preserve">при условията и </w:t>
      </w:r>
      <w:r w:rsidRPr="00845CC1">
        <w:t>по реда на Наказателния кодекс. В съответствие с международните стандарти в законопроекта се посочва изрично, че когато вещта или имуществото – предмет на престъплението</w:t>
      </w:r>
      <w:r w:rsidR="0018169F">
        <w:t>,</w:t>
      </w:r>
      <w:r w:rsidRPr="00845CC1">
        <w:t xml:space="preserve"> липсва или е отчуждено, в полза на държавата се присъжда неговата парична равностойност. </w:t>
      </w:r>
    </w:p>
    <w:p w:rsidR="009A77AE" w:rsidRDefault="009A77AE" w:rsidP="009A77AE">
      <w:pPr>
        <w:spacing w:after="120"/>
        <w:ind w:firstLine="720"/>
      </w:pPr>
      <w:r>
        <w:t>С цел, от една страна, облекчаване на процеса по доказване на юридическия факт, пораждащ отговорност за юридическото лице, а от друга – стимулиране на поведение, насочено към сезиране и съдействие на компетентните органи при извършено престъпление, се предвижда к</w:t>
      </w:r>
      <w:r w:rsidRPr="009A77AE">
        <w:t>огато до образуване на досъдебното производство за извършеното престъпление, а когато такова не може да се образува – до внасяне на предложение от прокурора по чл. 83б</w:t>
      </w:r>
      <w:r>
        <w:t xml:space="preserve"> ЗАНН</w:t>
      </w:r>
      <w:r w:rsidRPr="009A77AE">
        <w:t xml:space="preserve"> някое от лицата по ал. 1, т. 1 – 3 доброволно е съобщило на властта за извършеното престъпление и е улеснило разкриването и доказването му, съдът </w:t>
      </w:r>
      <w:r>
        <w:t xml:space="preserve">да </w:t>
      </w:r>
      <w:r w:rsidRPr="009A77AE">
        <w:t>налага санкцията под предвидения най-нисък размер или срок, но не по-малко от една втора от него</w:t>
      </w:r>
      <w:r>
        <w:t>.</w:t>
      </w:r>
    </w:p>
    <w:p w:rsidR="009A77AE" w:rsidRDefault="009A77AE" w:rsidP="009A77AE">
      <w:pPr>
        <w:spacing w:after="120"/>
        <w:ind w:firstLine="720"/>
      </w:pPr>
      <w:r>
        <w:t xml:space="preserve">Прецизира се кръгът от физически лица, чиято престъпна дейност води до ангажиране на административнонаказателната отговорност на юридическите лица, чрез добавяне на лицата, които се явяват изпълнители по договори с юридическото лице. Прецизира се и уредбата на правилата за действие на разпоредбата на чл. 83а ЗАНН по място, като се уточнява, че по този ред отговаря и юридическо лице, което е със седалище на територията на Република България, в случай че престъплението по ал. 1 или 2 е </w:t>
      </w:r>
      <w:r>
        <w:lastRenderedPageBreak/>
        <w:t>извършено извън територията на Република България, както и юридическо лице, което няма седалище на територията на Република България, в случай че престъплението по ал. 1 е извършено на територията на Република България.</w:t>
      </w:r>
    </w:p>
    <w:p w:rsidR="009A77AE" w:rsidRDefault="009A77AE" w:rsidP="009A77AE">
      <w:pPr>
        <w:spacing w:after="120"/>
        <w:ind w:firstLine="720"/>
      </w:pPr>
      <w:r>
        <w:t xml:space="preserve">С цел преодоляване на противоречивата съдебна практика се актуализират правилата за погасяване на административнонаказателната отговорност на юридическите лица по давност, като изрично се подчертава, че </w:t>
      </w:r>
      <w:r w:rsidR="001949F4">
        <w:t>о</w:t>
      </w:r>
      <w:r w:rsidR="001949F4" w:rsidRPr="001949F4">
        <w:t>тговорността на юридическото лице се погасява с изтичане на срок, равен по продължителност на давностния срок, установен за съответното престъпление, по чл. 81, ал. 3 от Наказателния кодекс, считано от датата на извършване на престъплението по ал. 1 или 2</w:t>
      </w:r>
      <w:r w:rsidR="00914B47">
        <w:t xml:space="preserve"> на чл. 83а от ЗАНН</w:t>
      </w:r>
      <w:r w:rsidR="001949F4" w:rsidRPr="001949F4">
        <w:t xml:space="preserve">. </w:t>
      </w:r>
      <w:r w:rsidR="001949F4">
        <w:t>Указва се, че д</w:t>
      </w:r>
      <w:r w:rsidR="001949F4" w:rsidRPr="001949F4">
        <w:t>авността започва да тече от довършването на престъплението, при опит и приготовление – от деня, когато е извършено последното действие, а за престъпленията, които траят непрекъснато, както и за продължаваните престъпления – от прекратяването им</w:t>
      </w:r>
      <w:r w:rsidR="001949F4">
        <w:t>.</w:t>
      </w:r>
    </w:p>
    <w:p w:rsidR="001949F4" w:rsidRDefault="001949F4" w:rsidP="001949F4">
      <w:pPr>
        <w:spacing w:after="120"/>
        <w:ind w:firstLine="720"/>
      </w:pPr>
      <w:r>
        <w:t xml:space="preserve">Съществени промени се предлагат по отношение на </w:t>
      </w:r>
      <w:r w:rsidR="00F1000F">
        <w:t xml:space="preserve">уредбата </w:t>
      </w:r>
      <w:r>
        <w:t>на производството по ангажиране на административнонаказателната отговорност на юридическите лица при извършено престъпление. Предвид обстоятелството, че с предлаганите изменения в НПК се въвежда принципното положение, че отговорността на юридическото лице се ангажира ведно с тази на виновното физическо лице в наказателното производство, редът, предвиден в чл. 83б и следващите от ЗАНН</w:t>
      </w:r>
      <w:r w:rsidR="0018169F">
        <w:t>,</w:t>
      </w:r>
      <w:r>
        <w:t xml:space="preserve"> придобива субсидиарен характер. Предвижда се производство по реда на ЗАНН да се води само в случай</w:t>
      </w:r>
      <w:r w:rsidR="005868D2">
        <w:t xml:space="preserve"> </w:t>
      </w:r>
      <w:r>
        <w:t>че не е възможно да се води производство срещу юридическото лице по НПК, а именно, когато наказателното производство за престъплението по чл. 83а, ал. 1 или 2 ЗАНН не може да се образува или образуваното е прекратено от прокурора на основание чл. 24, ал. 1 или ал. 4 – 6 НПК; когато наказателното производство за престъплението по чл. 83а, ал. 1 или 2 е прекратено от съда при условията и по реда на чл. 250, ал. 1 или чл. 289, ал. 1 НПК; когато наказателното производство срещу лицето по чл. 83а, ал. 1, т. 1 – 4 за престъплението по чл. 83а, ал. 1 или 2 е решено със споразумение по чл. 381 или чл. 384а, ал. 2 НПК; когато наказателното производство за престъплението по чл. 83а, ал. 1 или 2 е приключило с влязла в сила присъда и в производството не е било привлечено заинтересованото юридическо лице; когато наказателното производство за престъплението по чл. 83а, ал. 1 или 2 е спряно, на основание чл. 25, ал. 1, т. 1-3, 5 и 6 или чл. 244, ал. 1, т. 2 НПК и когато е налице влязло в сила решение по чл. 124, ал. 5 от Гражданския процесуален кодекс.</w:t>
      </w:r>
    </w:p>
    <w:p w:rsidR="009A77AE" w:rsidRDefault="001949F4" w:rsidP="001949F4">
      <w:pPr>
        <w:spacing w:after="120"/>
        <w:ind w:firstLine="720"/>
      </w:pPr>
      <w:r>
        <w:t xml:space="preserve">Усъвършенства се и се осъвременява </w:t>
      </w:r>
      <w:r w:rsidR="00F1000F">
        <w:t xml:space="preserve">уредбата </w:t>
      </w:r>
      <w:r>
        <w:t>на съдебното производство по реализ</w:t>
      </w:r>
      <w:r w:rsidR="00343A81">
        <w:t xml:space="preserve">иране </w:t>
      </w:r>
      <w:r>
        <w:t>на отговорността на юридическите лица по ЗАНН, чрез предвиждане на ясни правила по отношение на процесуалното представителство и призоваването на юридическото лице пред съда, правилата за произнасяне на съда с окончателния му съдебен акт и присъждането на разноски. Допълват се основания</w:t>
      </w:r>
      <w:r w:rsidR="006413AA">
        <w:t>та</w:t>
      </w:r>
      <w:r>
        <w:t xml:space="preserve"> за възобновяване на административнонаказателното производство, развило се и приключило по реда на чл. 83б и следващите от ЗАНН.</w:t>
      </w:r>
    </w:p>
    <w:p w:rsidR="00A9025C" w:rsidRPr="00845CC1" w:rsidRDefault="00A9025C" w:rsidP="001949F4">
      <w:pPr>
        <w:spacing w:after="120"/>
        <w:ind w:firstLine="720"/>
      </w:pPr>
      <w:r>
        <w:lastRenderedPageBreak/>
        <w:t>Осъвременяват се легалните дефиниции за пряка и непряка облага от престъплението, които подлежат на отнемане в полза на държавата. Създават се дефиниции на „средства на Европейския съюз“ и на „международна организация“.</w:t>
      </w:r>
    </w:p>
    <w:p w:rsidR="00845CC1" w:rsidRPr="00845CC1" w:rsidRDefault="00845CC1" w:rsidP="00845CC1">
      <w:pPr>
        <w:spacing w:after="120"/>
        <w:ind w:firstLine="720"/>
        <w:rPr>
          <w:rFonts w:eastAsia="Calibri"/>
          <w:b/>
          <w:bCs/>
          <w:color w:val="000000" w:themeColor="text1"/>
          <w:u w:val="single"/>
        </w:rPr>
      </w:pPr>
      <w:r w:rsidRPr="00845CC1">
        <w:rPr>
          <w:rFonts w:eastAsia="Calibri"/>
          <w:b/>
          <w:u w:val="single"/>
        </w:rPr>
        <w:t xml:space="preserve">4. </w:t>
      </w:r>
      <w:r w:rsidRPr="00845CC1">
        <w:rPr>
          <w:rFonts w:eastAsia="Calibri"/>
          <w:b/>
          <w:color w:val="000000" w:themeColor="text1"/>
          <w:u w:val="single"/>
        </w:rPr>
        <w:t xml:space="preserve">Очаквани резултати от прилагането на проекта на </w:t>
      </w:r>
      <w:r w:rsidRPr="00845CC1">
        <w:rPr>
          <w:rFonts w:eastAsia="Calibri"/>
          <w:b/>
          <w:bCs/>
          <w:color w:val="000000" w:themeColor="text1"/>
          <w:u w:val="single"/>
        </w:rPr>
        <w:t xml:space="preserve">Закон за изменение и допълнение на Наказателния кодекс, </w:t>
      </w:r>
      <w:r w:rsidR="00262625">
        <w:rPr>
          <w:rFonts w:eastAsia="Calibri"/>
          <w:b/>
          <w:bCs/>
          <w:color w:val="000000" w:themeColor="text1"/>
          <w:u w:val="single"/>
        </w:rPr>
        <w:t xml:space="preserve">предвиждащ промени и в </w:t>
      </w:r>
      <w:r w:rsidRPr="00845CC1">
        <w:rPr>
          <w:rFonts w:eastAsia="Calibri"/>
          <w:b/>
          <w:bCs/>
          <w:color w:val="000000" w:themeColor="text1"/>
          <w:u w:val="single"/>
        </w:rPr>
        <w:t xml:space="preserve">Наказателно-процесуалния кодекс и </w:t>
      </w:r>
      <w:r w:rsidR="00881E9B">
        <w:rPr>
          <w:rFonts w:eastAsia="Calibri"/>
          <w:b/>
          <w:bCs/>
          <w:color w:val="000000" w:themeColor="text1"/>
          <w:u w:val="single"/>
        </w:rPr>
        <w:t xml:space="preserve">в </w:t>
      </w:r>
      <w:r w:rsidRPr="00845CC1">
        <w:rPr>
          <w:rFonts w:eastAsia="Calibri"/>
          <w:b/>
          <w:bCs/>
          <w:color w:val="000000" w:themeColor="text1"/>
          <w:u w:val="single"/>
        </w:rPr>
        <w:t>Закона за административните н</w:t>
      </w:r>
      <w:r w:rsidR="000D3FED">
        <w:rPr>
          <w:rFonts w:eastAsia="Calibri"/>
          <w:b/>
          <w:bCs/>
          <w:color w:val="000000" w:themeColor="text1"/>
          <w:u w:val="single"/>
        </w:rPr>
        <w:t>а</w:t>
      </w:r>
      <w:r w:rsidRPr="00845CC1">
        <w:rPr>
          <w:rFonts w:eastAsia="Calibri"/>
          <w:b/>
          <w:bCs/>
          <w:color w:val="000000" w:themeColor="text1"/>
          <w:u w:val="single"/>
        </w:rPr>
        <w:t>рушения и наказания:</w:t>
      </w:r>
    </w:p>
    <w:p w:rsidR="00845CC1" w:rsidRPr="00845CC1" w:rsidRDefault="00845CC1" w:rsidP="00845CC1">
      <w:pPr>
        <w:spacing w:after="120"/>
        <w:ind w:firstLine="720"/>
        <w:rPr>
          <w:rFonts w:eastAsia="Calibri"/>
        </w:rPr>
      </w:pPr>
      <w:r w:rsidRPr="00845CC1">
        <w:rPr>
          <w:rFonts w:eastAsia="Calibri"/>
        </w:rPr>
        <w:t>С предложените изменения и допълнения ще бъдат постигнати следните резултати:</w:t>
      </w:r>
    </w:p>
    <w:p w:rsidR="00845CC1" w:rsidRPr="00845CC1" w:rsidRDefault="00845CC1" w:rsidP="00845CC1">
      <w:pPr>
        <w:spacing w:after="120"/>
        <w:ind w:firstLine="720"/>
        <w:rPr>
          <w:rFonts w:eastAsia="Calibri"/>
        </w:rPr>
      </w:pPr>
      <w:r w:rsidRPr="00845CC1">
        <w:rPr>
          <w:rFonts w:eastAsia="Calibri"/>
        </w:rPr>
        <w:t>4.1. Изпълнение на приоритетните препоръки от д</w:t>
      </w:r>
      <w:r w:rsidR="001949F4">
        <w:rPr>
          <w:rFonts w:eastAsia="Calibri"/>
        </w:rPr>
        <w:t>о</w:t>
      </w:r>
      <w:r w:rsidRPr="00845CC1">
        <w:rPr>
          <w:rFonts w:eastAsia="Calibri"/>
        </w:rPr>
        <w:t>клада за Република България по фаза 4</w:t>
      </w:r>
      <w:r w:rsidR="00881E9B">
        <w:rPr>
          <w:rFonts w:eastAsia="Calibri"/>
        </w:rPr>
        <w:t xml:space="preserve">, което е </w:t>
      </w:r>
      <w:r w:rsidRPr="00845CC1">
        <w:rPr>
          <w:rFonts w:eastAsia="Calibri"/>
        </w:rPr>
        <w:t>от ключово значение за получаване на положително становище от Работната група относно готовността на страната ни за членство в ОИСР.</w:t>
      </w:r>
    </w:p>
    <w:p w:rsidR="00845CC1" w:rsidRDefault="00845CC1" w:rsidP="00845CC1">
      <w:pPr>
        <w:spacing w:after="120"/>
        <w:ind w:firstLine="720"/>
        <w:rPr>
          <w:rFonts w:eastAsia="Calibri"/>
        </w:rPr>
      </w:pPr>
      <w:r w:rsidRPr="00845CC1">
        <w:rPr>
          <w:rFonts w:eastAsia="Calibri"/>
        </w:rPr>
        <w:t>4.2. Привеждане</w:t>
      </w:r>
      <w:r w:rsidR="008D26C8">
        <w:rPr>
          <w:rFonts w:eastAsia="Calibri"/>
        </w:rPr>
        <w:t xml:space="preserve"> </w:t>
      </w:r>
      <w:r w:rsidRPr="00845CC1">
        <w:rPr>
          <w:rFonts w:eastAsia="Calibri"/>
        </w:rPr>
        <w:t>на политиките в България в съответствие с най-добрите международни стандарти</w:t>
      </w:r>
      <w:r w:rsidR="008D26C8">
        <w:rPr>
          <w:rFonts w:eastAsia="Calibri"/>
        </w:rPr>
        <w:t xml:space="preserve">, което е предпоставка за </w:t>
      </w:r>
      <w:r w:rsidRPr="00845CC1">
        <w:rPr>
          <w:rFonts w:eastAsia="Calibri"/>
        </w:rPr>
        <w:t>успешното завършване на процеса по присъединяване към ОИСР.</w:t>
      </w:r>
      <w:r w:rsidR="001949F4">
        <w:rPr>
          <w:rFonts w:eastAsia="Calibri"/>
        </w:rPr>
        <w:t xml:space="preserve"> </w:t>
      </w:r>
      <w:r w:rsidRPr="00845CC1">
        <w:rPr>
          <w:rFonts w:eastAsia="Calibri"/>
        </w:rPr>
        <w:t>При</w:t>
      </w:r>
      <w:r w:rsidR="000D3FED">
        <w:rPr>
          <w:rFonts w:eastAsia="Calibri"/>
        </w:rPr>
        <w:t>с</w:t>
      </w:r>
      <w:r w:rsidRPr="00845CC1">
        <w:rPr>
          <w:rFonts w:eastAsia="Calibri"/>
        </w:rPr>
        <w:t>ъединяването на страната ни към Организацията за икономическо сътрудничество и развитие ще подпомогне икономическото развитие на Република България и подобряване</w:t>
      </w:r>
      <w:r w:rsidR="008D26C8">
        <w:rPr>
          <w:rFonts w:eastAsia="Calibri"/>
        </w:rPr>
        <w:t>то</w:t>
      </w:r>
      <w:r w:rsidRPr="00845CC1">
        <w:rPr>
          <w:rFonts w:eastAsia="Calibri"/>
        </w:rPr>
        <w:t xml:space="preserve"> на жизнения стандарт на гражданите ни.</w:t>
      </w:r>
    </w:p>
    <w:p w:rsidR="001949F4" w:rsidRPr="001949F4" w:rsidRDefault="001949F4" w:rsidP="001949F4">
      <w:pPr>
        <w:spacing w:after="120"/>
        <w:ind w:firstLine="720"/>
        <w:rPr>
          <w:rFonts w:eastAsia="Calibri"/>
        </w:rPr>
      </w:pPr>
      <w:r>
        <w:rPr>
          <w:rFonts w:eastAsia="Calibri"/>
        </w:rPr>
        <w:t xml:space="preserve">4.3. Изпълнение на </w:t>
      </w:r>
      <w:r w:rsidRPr="001949F4">
        <w:rPr>
          <w:rFonts w:eastAsia="Calibri"/>
        </w:rPr>
        <w:t>отправените към Република България препоръки, съдържащи се в Доклада от Петия оценителен кръг на Комитета на експертите за борба с изпирането на пари и финансирането на тероризма (MONEYVAL) към Съвета на Европа от 18 май 2022 г. за предвиждане на по-ефективни, пропорционални и разубеждаващи имуществени санкции срещу юридическите лица, както и допълнителни неимуществени санкции, които да имат възпиращ ефект при борбата с изпирането на  пари и финансирането на тероризма.</w:t>
      </w:r>
    </w:p>
    <w:p w:rsidR="001949F4" w:rsidRPr="001949F4" w:rsidRDefault="001949F4" w:rsidP="001949F4">
      <w:pPr>
        <w:spacing w:after="120"/>
        <w:ind w:firstLine="720"/>
        <w:rPr>
          <w:rFonts w:eastAsia="Calibri"/>
        </w:rPr>
      </w:pPr>
      <w:r>
        <w:rPr>
          <w:rFonts w:eastAsia="Calibri"/>
        </w:rPr>
        <w:t>4.4. Осигуряване</w:t>
      </w:r>
      <w:r w:rsidR="008A4305">
        <w:rPr>
          <w:rFonts w:eastAsia="Calibri"/>
        </w:rPr>
        <w:t xml:space="preserve"> </w:t>
      </w:r>
      <w:r>
        <w:rPr>
          <w:rFonts w:eastAsia="Calibri"/>
        </w:rPr>
        <w:t xml:space="preserve">на </w:t>
      </w:r>
      <w:r w:rsidRPr="001949F4">
        <w:rPr>
          <w:rFonts w:eastAsia="Calibri"/>
        </w:rPr>
        <w:t>пълно съответствие с изискванията на чл. 6 Санкции за юридически лица на Директива (ЕС) 2024/1712 на Европейския парламент и на Съвета от 13 юни 2024 година за изменение на Директива 2011/36/ЕС относно предотвратяването и борбата с трафика на хора и защитата на жертвите от него.</w:t>
      </w:r>
    </w:p>
    <w:p w:rsidR="001949F4" w:rsidRPr="00845CC1" w:rsidRDefault="001949F4" w:rsidP="005A0139">
      <w:pPr>
        <w:spacing w:after="120"/>
        <w:ind w:firstLine="720"/>
        <w:rPr>
          <w:rFonts w:eastAsia="Calibri"/>
        </w:rPr>
      </w:pPr>
      <w:r>
        <w:rPr>
          <w:rFonts w:eastAsia="Calibri"/>
        </w:rPr>
        <w:t xml:space="preserve">4.5. </w:t>
      </w:r>
      <w:r w:rsidR="005A0139">
        <w:rPr>
          <w:rFonts w:eastAsia="Calibri"/>
        </w:rPr>
        <w:t xml:space="preserve">Съобразяване на тълкуването на чл. 48 от </w:t>
      </w:r>
      <w:r w:rsidR="005A0139" w:rsidRPr="001949F4">
        <w:rPr>
          <w:rFonts w:eastAsia="Calibri"/>
        </w:rPr>
        <w:t>Хартата на основните права на Европейския съюз</w:t>
      </w:r>
      <w:r w:rsidR="005A0139">
        <w:rPr>
          <w:rFonts w:eastAsia="Calibri"/>
        </w:rPr>
        <w:t>, дадено с Р</w:t>
      </w:r>
      <w:r w:rsidRPr="001949F4">
        <w:rPr>
          <w:rFonts w:eastAsia="Calibri"/>
        </w:rPr>
        <w:t xml:space="preserve">ешението на Съда на ЕС по дело С-203/21 ДЕЛТА СТРОЙ 2003 от </w:t>
      </w:r>
      <w:r w:rsidR="005A0139">
        <w:rPr>
          <w:rFonts w:eastAsia="Calibri"/>
        </w:rPr>
        <w:t xml:space="preserve">10 </w:t>
      </w:r>
      <w:r w:rsidRPr="001949F4">
        <w:rPr>
          <w:rFonts w:eastAsia="Calibri"/>
        </w:rPr>
        <w:t>ноември 2022 г.</w:t>
      </w:r>
      <w:r w:rsidR="005A0139">
        <w:rPr>
          <w:rFonts w:eastAsia="Calibri"/>
        </w:rPr>
        <w:t>, изискващо</w:t>
      </w:r>
      <w:r w:rsidRPr="001949F4">
        <w:rPr>
          <w:rFonts w:eastAsia="Calibri"/>
        </w:rPr>
        <w:t xml:space="preserve"> реформи в наказателния процес, които да позволят защита на юридическите лица, срещу които има образувано производство по чл. 83а от ЗАНН, в рамките на наказателното производство срещу физическия извършител на престъплението </w:t>
      </w:r>
      <w:r w:rsidR="005A0139">
        <w:rPr>
          <w:rFonts w:eastAsia="Calibri"/>
        </w:rPr>
        <w:t>–</w:t>
      </w:r>
      <w:r w:rsidRPr="001949F4">
        <w:rPr>
          <w:rFonts w:eastAsia="Calibri"/>
        </w:rPr>
        <w:t xml:space="preserve"> източник на облага за юридическото лице. </w:t>
      </w:r>
    </w:p>
    <w:p w:rsidR="00845CC1" w:rsidRPr="00845CC1" w:rsidRDefault="00845CC1" w:rsidP="00845CC1">
      <w:pPr>
        <w:spacing w:after="120"/>
        <w:ind w:firstLine="720"/>
        <w:rPr>
          <w:rFonts w:eastAsia="Calibri"/>
          <w:bCs/>
          <w:lang w:eastAsia="bg-BG"/>
        </w:rPr>
      </w:pPr>
      <w:r w:rsidRPr="00845CC1">
        <w:rPr>
          <w:rFonts w:eastAsia="Calibri"/>
          <w:bCs/>
          <w:lang w:eastAsia="bg-BG"/>
        </w:rPr>
        <w:t>4.</w:t>
      </w:r>
      <w:r w:rsidR="00377A37">
        <w:rPr>
          <w:rFonts w:eastAsia="Calibri"/>
          <w:bCs/>
          <w:lang w:eastAsia="bg-BG"/>
        </w:rPr>
        <w:t>6</w:t>
      </w:r>
      <w:r w:rsidRPr="00845CC1">
        <w:rPr>
          <w:rFonts w:eastAsia="Calibri"/>
          <w:bCs/>
          <w:lang w:eastAsia="bg-BG"/>
        </w:rPr>
        <w:t>.</w:t>
      </w:r>
      <w:r w:rsidR="00377A37">
        <w:rPr>
          <w:rFonts w:eastAsia="Calibri"/>
          <w:bCs/>
          <w:lang w:eastAsia="bg-BG"/>
        </w:rPr>
        <w:t xml:space="preserve"> </w:t>
      </w:r>
      <w:r w:rsidRPr="00845CC1">
        <w:rPr>
          <w:rFonts w:eastAsia="Calibri"/>
          <w:bCs/>
          <w:lang w:eastAsia="bg-BG"/>
        </w:rPr>
        <w:t>Подобряване на международния авторитет на българската държава.</w:t>
      </w:r>
    </w:p>
    <w:p w:rsidR="00845CC1" w:rsidRPr="00845CC1" w:rsidRDefault="00845CC1" w:rsidP="00845CC1">
      <w:pPr>
        <w:spacing w:after="120"/>
        <w:ind w:firstLine="720"/>
        <w:rPr>
          <w:b/>
          <w:bCs/>
          <w:u w:val="single"/>
        </w:rPr>
      </w:pPr>
      <w:r w:rsidRPr="00845CC1">
        <w:rPr>
          <w:b/>
          <w:bCs/>
          <w:u w:val="single"/>
        </w:rPr>
        <w:t>5. Финансови и други средства, необходими за прилагането на новата уредба:</w:t>
      </w:r>
    </w:p>
    <w:p w:rsidR="00845CC1" w:rsidRPr="00845CC1" w:rsidRDefault="00845CC1" w:rsidP="00845CC1">
      <w:pPr>
        <w:spacing w:after="120"/>
        <w:ind w:firstLine="720"/>
      </w:pPr>
      <w:r w:rsidRPr="00845CC1">
        <w:t xml:space="preserve">Предвижда се осъществяването на дейността по законопроекта да се извършва в рамките на предвидените финансови средства на структурите. </w:t>
      </w:r>
    </w:p>
    <w:p w:rsidR="00845CC1" w:rsidRPr="00845CC1" w:rsidRDefault="00845CC1" w:rsidP="00845CC1">
      <w:pPr>
        <w:spacing w:after="120"/>
        <w:ind w:firstLine="720"/>
      </w:pPr>
      <w:r w:rsidRPr="00845CC1">
        <w:lastRenderedPageBreak/>
        <w:t>Законопроектът не съдържа разпоредби, свързани с въвеждането на регулаторни режими.</w:t>
      </w:r>
    </w:p>
    <w:p w:rsidR="00845CC1" w:rsidRPr="00845CC1" w:rsidRDefault="00845CC1" w:rsidP="00845CC1">
      <w:pPr>
        <w:spacing w:after="120"/>
        <w:ind w:firstLine="720"/>
      </w:pPr>
      <w:r w:rsidRPr="00845CC1">
        <w:t>Проектът на закон не съдържа разпоредби, въвеждащи актове на Европейския съюз, поради което към него не е изготвена таблица за съответствие с правото на ЕС.</w:t>
      </w:r>
    </w:p>
    <w:p w:rsidR="00845CC1" w:rsidRDefault="00845CC1" w:rsidP="00845CC1">
      <w:pPr>
        <w:spacing w:after="120"/>
        <w:ind w:firstLine="720"/>
      </w:pPr>
      <w:r w:rsidRPr="00845CC1">
        <w:t>Към законопроекта е приложена справка за съответствието му с Европейската конвенция за защита на правата на човека и основните свободи и с практиката на Европейския съд по правата на човека.</w:t>
      </w:r>
    </w:p>
    <w:p w:rsidR="00262712" w:rsidRPr="00262712" w:rsidRDefault="008723BA" w:rsidP="00262712">
      <w:pPr>
        <w:spacing w:after="120"/>
        <w:ind w:firstLine="720"/>
        <w:rPr>
          <w:bCs/>
        </w:rPr>
      </w:pPr>
      <w:r w:rsidRPr="008723BA">
        <w:rPr>
          <w:bCs/>
        </w:rPr>
        <w:t xml:space="preserve">Законопроектът ще бъде публикуван за провеждане на обществени консултации за срок от 14 дни с оглед </w:t>
      </w:r>
      <w:r>
        <w:rPr>
          <w:bCs/>
        </w:rPr>
        <w:t xml:space="preserve">на </w:t>
      </w:r>
      <w:bookmarkStart w:id="0" w:name="_GoBack"/>
      <w:bookmarkEnd w:id="0"/>
      <w:r w:rsidR="00262712" w:rsidRPr="00262712">
        <w:rPr>
          <w:bCs/>
        </w:rPr>
        <w:t>необходимостта да се предприемат спешни мерки за изпълнение на отправените към Република България препоръки, съдържащи се в препоръките от доклада за България по фаза 4 от мониторинга по прилагането на Конвенцията за борба с подкупването на чужди длъжностни лица в международните търговски сделки на ОИСР и свързаните с нея инструменти.</w:t>
      </w:r>
    </w:p>
    <w:p w:rsidR="00262712" w:rsidRPr="00845CC1" w:rsidRDefault="00262712" w:rsidP="00845CC1">
      <w:pPr>
        <w:spacing w:after="120"/>
        <w:ind w:firstLine="720"/>
        <w:rPr>
          <w:bCs/>
        </w:rPr>
      </w:pPr>
    </w:p>
    <w:p w:rsidR="00845CC1" w:rsidRPr="00845CC1" w:rsidRDefault="00845CC1" w:rsidP="00845CC1">
      <w:pPr>
        <w:spacing w:after="120"/>
        <w:ind w:firstLine="720"/>
      </w:pPr>
    </w:p>
    <w:p w:rsidR="006A5967" w:rsidRPr="00845CC1" w:rsidRDefault="006A5967" w:rsidP="00845CC1">
      <w:pPr>
        <w:spacing w:after="120"/>
        <w:ind w:firstLine="720"/>
      </w:pPr>
    </w:p>
    <w:sectPr w:rsidR="006A5967" w:rsidRPr="00845CC1">
      <w:footerReference w:type="default" r:id="rId8"/>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812" w:rsidRDefault="00EB1812" w:rsidP="001E40EF">
      <w:pPr>
        <w:spacing w:line="240" w:lineRule="auto"/>
      </w:pPr>
      <w:r>
        <w:separator/>
      </w:r>
    </w:p>
  </w:endnote>
  <w:endnote w:type="continuationSeparator" w:id="0">
    <w:p w:rsidR="00EB1812" w:rsidRDefault="00EB1812" w:rsidP="001E40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505587"/>
      <w:docPartObj>
        <w:docPartGallery w:val="Page Numbers (Bottom of Page)"/>
        <w:docPartUnique/>
      </w:docPartObj>
    </w:sdtPr>
    <w:sdtEndPr>
      <w:rPr>
        <w:noProof/>
      </w:rPr>
    </w:sdtEndPr>
    <w:sdtContent>
      <w:p w:rsidR="000370A5" w:rsidRDefault="000370A5">
        <w:pPr>
          <w:pStyle w:val="Footer"/>
          <w:jc w:val="right"/>
        </w:pPr>
        <w:r>
          <w:fldChar w:fldCharType="begin"/>
        </w:r>
        <w:r>
          <w:instrText xml:space="preserve"> PAGE   \* MERGEFORMAT </w:instrText>
        </w:r>
        <w:r>
          <w:fldChar w:fldCharType="separate"/>
        </w:r>
        <w:r w:rsidR="008723BA">
          <w:rPr>
            <w:noProof/>
          </w:rPr>
          <w:t>12</w:t>
        </w:r>
        <w:r>
          <w:rPr>
            <w:noProof/>
          </w:rPr>
          <w:fldChar w:fldCharType="end"/>
        </w:r>
      </w:p>
    </w:sdtContent>
  </w:sdt>
  <w:p w:rsidR="000370A5" w:rsidRDefault="00037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812" w:rsidRDefault="00EB1812" w:rsidP="001E40EF">
      <w:pPr>
        <w:spacing w:line="240" w:lineRule="auto"/>
      </w:pPr>
      <w:r>
        <w:separator/>
      </w:r>
    </w:p>
  </w:footnote>
  <w:footnote w:type="continuationSeparator" w:id="0">
    <w:p w:rsidR="00EB1812" w:rsidRDefault="00EB1812" w:rsidP="001E40EF">
      <w:pPr>
        <w:spacing w:line="240" w:lineRule="auto"/>
      </w:pPr>
      <w:r>
        <w:continuationSeparator/>
      </w:r>
    </w:p>
  </w:footnote>
  <w:footnote w:id="1">
    <w:p w:rsidR="001E40EF" w:rsidRDefault="001E40EF" w:rsidP="00845CC1">
      <w:pPr>
        <w:pStyle w:val="FootnoteText"/>
        <w:rPr>
          <w:rFonts w:asciiTheme="minorHAnsi" w:hAnsiTheme="minorHAnsi" w:cstheme="minorBidi"/>
        </w:rPr>
      </w:pPr>
      <w:r w:rsidRPr="007E41FA">
        <w:rPr>
          <w:rStyle w:val="FootnoteReference"/>
        </w:rPr>
        <w:footnoteRef/>
      </w:r>
      <w:r w:rsidRPr="00035AB3">
        <w:t xml:space="preserve"> </w:t>
      </w:r>
      <w:r w:rsidRPr="00035AB3">
        <w:rPr>
          <w:rFonts w:eastAsia="Times New Roman"/>
        </w:rPr>
        <w:t xml:space="preserve">Докладът по фаза 4 и Докладът за напредъка са преведени на български език и са публично достъпни на интернет страницата на Министерството на правосъдието: </w:t>
      </w:r>
      <w:hyperlink r:id="rId1" w:history="1">
        <w:r w:rsidRPr="00035AB3">
          <w:rPr>
            <w:rStyle w:val="Hyperlink"/>
          </w:rPr>
          <w:t>https://www.justice.government.bg/home/index/b646cc72-5865-42d1-b567-afd8ff3d7bd5</w:t>
        </w:r>
      </w:hyperlink>
      <w:r>
        <w:rPr>
          <w:rStyle w:val="Hyperlink"/>
        </w:rPr>
        <w:t>.</w:t>
      </w:r>
    </w:p>
  </w:footnote>
  <w:footnote w:id="2">
    <w:p w:rsidR="001E40EF" w:rsidRDefault="001E40EF" w:rsidP="001E40EF">
      <w:pPr>
        <w:tabs>
          <w:tab w:val="left" w:pos="993"/>
        </w:tabs>
        <w:spacing w:line="240" w:lineRule="auto"/>
      </w:pPr>
      <w:r w:rsidRPr="00035AB3">
        <w:rPr>
          <w:rStyle w:val="FootnoteReference"/>
          <w:sz w:val="20"/>
          <w:szCs w:val="20"/>
        </w:rPr>
        <w:footnoteRef/>
      </w:r>
      <w:r w:rsidRPr="00035AB3">
        <w:rPr>
          <w:rStyle w:val="FootnoteReference"/>
          <w:sz w:val="20"/>
          <w:szCs w:val="20"/>
        </w:rPr>
        <w:t xml:space="preserve"> </w:t>
      </w:r>
      <w:r>
        <w:rPr>
          <w:sz w:val="20"/>
          <w:szCs w:val="20"/>
        </w:rPr>
        <w:t>Тези инструменти включват:</w:t>
      </w:r>
      <w:r w:rsidRPr="007E41FA">
        <w:t xml:space="preserve"> </w:t>
      </w:r>
      <w:r w:rsidRPr="007E41FA">
        <w:rPr>
          <w:sz w:val="20"/>
          <w:szCs w:val="20"/>
        </w:rPr>
        <w:t>Препоръката на Съвета от 2021 г. за по-нататъшна борба с подкупването на чужди длъжностни лица в международните търговски сделки</w:t>
      </w:r>
      <w:r>
        <w:rPr>
          <w:sz w:val="20"/>
          <w:szCs w:val="20"/>
        </w:rPr>
        <w:t>,</w:t>
      </w:r>
      <w:r w:rsidRPr="007E41FA">
        <w:t xml:space="preserve"> </w:t>
      </w:r>
      <w:r w:rsidRPr="007E41FA">
        <w:rPr>
          <w:sz w:val="20"/>
          <w:szCs w:val="20"/>
        </w:rPr>
        <w:t>Препоръката на Съвета относно подкупването и официално подкрепяните експортни кредити</w:t>
      </w:r>
      <w:r>
        <w:rPr>
          <w:sz w:val="20"/>
          <w:szCs w:val="20"/>
        </w:rPr>
        <w:t xml:space="preserve">, </w:t>
      </w:r>
      <w:r w:rsidRPr="00035AB3">
        <w:rPr>
          <w:sz w:val="20"/>
          <w:szCs w:val="20"/>
        </w:rPr>
        <w:t xml:space="preserve">Препоръката на Съвета относно данъчните мерки за по-нататъшна борба с подкупването на чужди длъжностни лица в международните търговски сделки, </w:t>
      </w:r>
      <w:r>
        <w:rPr>
          <w:sz w:val="20"/>
          <w:szCs w:val="20"/>
        </w:rPr>
        <w:t xml:space="preserve">и </w:t>
      </w:r>
      <w:r w:rsidRPr="00035AB3">
        <w:rPr>
          <w:sz w:val="20"/>
          <w:szCs w:val="20"/>
        </w:rPr>
        <w:t>Препоръката на Съвета към участниците в сътрудничеството за развитие относно управлението на корупционния риск</w:t>
      </w:r>
      <w:r>
        <w:rPr>
          <w:sz w:val="20"/>
          <w:szCs w:val="20"/>
        </w:rPr>
        <w:t xml:space="preserve">. </w:t>
      </w:r>
      <w:r w:rsidRPr="00035AB3">
        <w:rPr>
          <w:rStyle w:val="FootnoteReference"/>
          <w:sz w:val="20"/>
          <w:szCs w:val="20"/>
          <w:vertAlign w:val="baselin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AF4782"/>
    <w:multiLevelType w:val="hybridMultilevel"/>
    <w:tmpl w:val="0DE09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F1F0F69"/>
    <w:multiLevelType w:val="hybridMultilevel"/>
    <w:tmpl w:val="8FE48F36"/>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0EF"/>
    <w:rsid w:val="000370A5"/>
    <w:rsid w:val="000553D1"/>
    <w:rsid w:val="000777AB"/>
    <w:rsid w:val="000A22E8"/>
    <w:rsid w:val="000C6223"/>
    <w:rsid w:val="000D3FED"/>
    <w:rsid w:val="00137383"/>
    <w:rsid w:val="00157BAA"/>
    <w:rsid w:val="0018169F"/>
    <w:rsid w:val="001949F4"/>
    <w:rsid w:val="001A5B3D"/>
    <w:rsid w:val="001B2C3F"/>
    <w:rsid w:val="001C191B"/>
    <w:rsid w:val="001D1F1E"/>
    <w:rsid w:val="001E40EF"/>
    <w:rsid w:val="00262625"/>
    <w:rsid w:val="00262712"/>
    <w:rsid w:val="002A0C9E"/>
    <w:rsid w:val="002C7A04"/>
    <w:rsid w:val="00343A81"/>
    <w:rsid w:val="003622D4"/>
    <w:rsid w:val="003723F4"/>
    <w:rsid w:val="00377A37"/>
    <w:rsid w:val="003A4D4D"/>
    <w:rsid w:val="003B4C16"/>
    <w:rsid w:val="003F040D"/>
    <w:rsid w:val="003F5F46"/>
    <w:rsid w:val="00420E0B"/>
    <w:rsid w:val="00442044"/>
    <w:rsid w:val="00443AF2"/>
    <w:rsid w:val="00462732"/>
    <w:rsid w:val="004752D1"/>
    <w:rsid w:val="004E3AF0"/>
    <w:rsid w:val="00533BE8"/>
    <w:rsid w:val="00545D7F"/>
    <w:rsid w:val="005639CF"/>
    <w:rsid w:val="005803FF"/>
    <w:rsid w:val="005868D2"/>
    <w:rsid w:val="005A0139"/>
    <w:rsid w:val="00603AFA"/>
    <w:rsid w:val="006413AA"/>
    <w:rsid w:val="00687B9A"/>
    <w:rsid w:val="006A5967"/>
    <w:rsid w:val="00751674"/>
    <w:rsid w:val="00754C1E"/>
    <w:rsid w:val="007614F3"/>
    <w:rsid w:val="00771954"/>
    <w:rsid w:val="007A41D4"/>
    <w:rsid w:val="008108CE"/>
    <w:rsid w:val="00845CC1"/>
    <w:rsid w:val="00863AB4"/>
    <w:rsid w:val="008723BA"/>
    <w:rsid w:val="00877074"/>
    <w:rsid w:val="008773B9"/>
    <w:rsid w:val="00881E9B"/>
    <w:rsid w:val="008A4305"/>
    <w:rsid w:val="008D26C8"/>
    <w:rsid w:val="008D6C28"/>
    <w:rsid w:val="00914B47"/>
    <w:rsid w:val="00963B6D"/>
    <w:rsid w:val="0096422F"/>
    <w:rsid w:val="009868A8"/>
    <w:rsid w:val="009A77AE"/>
    <w:rsid w:val="009F0D8E"/>
    <w:rsid w:val="00A410D9"/>
    <w:rsid w:val="00A616DD"/>
    <w:rsid w:val="00A82472"/>
    <w:rsid w:val="00A879CF"/>
    <w:rsid w:val="00A9025C"/>
    <w:rsid w:val="00A9085D"/>
    <w:rsid w:val="00BB662C"/>
    <w:rsid w:val="00BD055D"/>
    <w:rsid w:val="00C00F65"/>
    <w:rsid w:val="00C26241"/>
    <w:rsid w:val="00C34D72"/>
    <w:rsid w:val="00C67D1B"/>
    <w:rsid w:val="00C73FF1"/>
    <w:rsid w:val="00C75941"/>
    <w:rsid w:val="00CC105C"/>
    <w:rsid w:val="00CD6F34"/>
    <w:rsid w:val="00D00270"/>
    <w:rsid w:val="00D93D4E"/>
    <w:rsid w:val="00E23A3A"/>
    <w:rsid w:val="00E24149"/>
    <w:rsid w:val="00E3391F"/>
    <w:rsid w:val="00E46B81"/>
    <w:rsid w:val="00E56223"/>
    <w:rsid w:val="00EA6042"/>
    <w:rsid w:val="00EB1812"/>
    <w:rsid w:val="00EF4CD8"/>
    <w:rsid w:val="00EF787C"/>
    <w:rsid w:val="00F1000F"/>
    <w:rsid w:val="00F21847"/>
    <w:rsid w:val="00F512C2"/>
    <w:rsid w:val="00F54E49"/>
    <w:rsid w:val="00F77436"/>
    <w:rsid w:val="00F81317"/>
    <w:rsid w:val="00FD4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6016"/>
  <w15:docId w15:val="{97C93EC8-7BBE-426F-8B8B-C6DF1D4BD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7AE"/>
    <w:pPr>
      <w:spacing w:after="0"/>
      <w:jc w:val="both"/>
    </w:pPr>
    <w:rPr>
      <w:rFonts w:ascii="Times New Roman" w:hAnsi="Times New Roman" w:cs="Times New Roman"/>
      <w:sz w:val="24"/>
      <w:szCs w:val="24"/>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 Char Char Char,Footnote Text Char1,Footnote Text Char1 Char,Footnote Text Char1 Char Char Char,Footnote Text Char1 Char Char Char Char Char,Footnote Text Char2"/>
    <w:basedOn w:val="Normal"/>
    <w:link w:val="FootnoteTextChar"/>
    <w:uiPriority w:val="99"/>
    <w:unhideWhenUsed/>
    <w:rsid w:val="001E40EF"/>
    <w:pPr>
      <w:spacing w:line="240" w:lineRule="auto"/>
    </w:pPr>
    <w:rPr>
      <w:sz w:val="20"/>
      <w:szCs w:val="20"/>
    </w:rPr>
  </w:style>
  <w:style w:type="character" w:customStyle="1" w:styleId="FootnoteTextChar">
    <w:name w:val="Footnote Text Char"/>
    <w:aliases w:val="Footnote Text Char Char Char Char,Footnote Text Char Char Char Char Char Char,Footnote Text Char1 Char1,Footnote Text Char1 Char Char,Footnote Text Char1 Char Char Char Char,Footnote Text Char1 Char Char Char Char Char Char"/>
    <w:basedOn w:val="DefaultParagraphFont"/>
    <w:link w:val="FootnoteText"/>
    <w:uiPriority w:val="99"/>
    <w:rsid w:val="001E40EF"/>
    <w:rPr>
      <w:rFonts w:ascii="Times New Roman" w:hAnsi="Times New Roman" w:cs="Times New Roman"/>
      <w:sz w:val="20"/>
      <w:szCs w:val="20"/>
      <w:lang w:val="bg-BG"/>
    </w:rPr>
  </w:style>
  <w:style w:type="character" w:styleId="FootnoteReference">
    <w:name w:val="footnote reference"/>
    <w:aliases w:val="-E Fußnotenzeichen,BVI fnr,E,Footnote Reference Char,Footnote Reference Number,Footnote Reference Superscript,Footnote Refernece,Footnote symbol,Footnotes refss,Odwołanie przypisu,Ref,SUPERS,Times 10 Point,de nota al pie,fr,ftref,o"/>
    <w:basedOn w:val="DefaultParagraphFont"/>
    <w:link w:val="FootnoteReference1"/>
    <w:uiPriority w:val="99"/>
    <w:unhideWhenUsed/>
    <w:qFormat/>
    <w:rsid w:val="001E40EF"/>
    <w:rPr>
      <w:vertAlign w:val="superscript"/>
    </w:rPr>
  </w:style>
  <w:style w:type="paragraph" w:styleId="NoSpacing">
    <w:name w:val="No Spacing"/>
    <w:link w:val="NoSpacingChar"/>
    <w:uiPriority w:val="1"/>
    <w:qFormat/>
    <w:rsid w:val="001E40EF"/>
    <w:pPr>
      <w:spacing w:after="0" w:line="240" w:lineRule="auto"/>
      <w:jc w:val="both"/>
    </w:pPr>
    <w:rPr>
      <w:rFonts w:eastAsiaTheme="minorEastAsia"/>
      <w:sz w:val="20"/>
      <w:szCs w:val="20"/>
      <w:lang w:val="bg-BG"/>
    </w:rPr>
  </w:style>
  <w:style w:type="character" w:customStyle="1" w:styleId="NoSpacingChar">
    <w:name w:val="No Spacing Char"/>
    <w:link w:val="NoSpacing"/>
    <w:uiPriority w:val="1"/>
    <w:rsid w:val="001E40EF"/>
    <w:rPr>
      <w:rFonts w:eastAsiaTheme="minorEastAsia"/>
      <w:sz w:val="20"/>
      <w:szCs w:val="20"/>
      <w:lang w:val="bg-BG"/>
    </w:rPr>
  </w:style>
  <w:style w:type="character" w:styleId="Hyperlink">
    <w:name w:val="Hyperlink"/>
    <w:basedOn w:val="DefaultParagraphFont"/>
    <w:uiPriority w:val="99"/>
    <w:unhideWhenUsed/>
    <w:rsid w:val="001E40EF"/>
    <w:rPr>
      <w:color w:val="0000FF" w:themeColor="hyperlink"/>
      <w:u w:val="single"/>
    </w:rPr>
  </w:style>
  <w:style w:type="paragraph" w:customStyle="1" w:styleId="FootnoteReference1">
    <w:name w:val="Footnote Reference1"/>
    <w:aliases w:val="FC"/>
    <w:basedOn w:val="Normal"/>
    <w:link w:val="FootnoteReference"/>
    <w:uiPriority w:val="99"/>
    <w:rsid w:val="001E40EF"/>
    <w:pPr>
      <w:tabs>
        <w:tab w:val="left" w:pos="709"/>
      </w:tabs>
      <w:spacing w:before="120" w:after="160" w:line="240" w:lineRule="exact"/>
    </w:pPr>
    <w:rPr>
      <w:rFonts w:asciiTheme="minorHAnsi" w:hAnsiTheme="minorHAnsi" w:cstheme="minorBidi"/>
      <w:sz w:val="22"/>
      <w:szCs w:val="22"/>
      <w:vertAlign w:val="superscript"/>
      <w:lang w:val="en-US"/>
    </w:rPr>
  </w:style>
  <w:style w:type="paragraph" w:styleId="BalloonText">
    <w:name w:val="Balloon Text"/>
    <w:basedOn w:val="Normal"/>
    <w:link w:val="BalloonTextChar"/>
    <w:uiPriority w:val="99"/>
    <w:semiHidden/>
    <w:unhideWhenUsed/>
    <w:rsid w:val="001E40E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0EF"/>
    <w:rPr>
      <w:rFonts w:ascii="Tahoma" w:hAnsi="Tahoma" w:cs="Tahoma"/>
      <w:sz w:val="16"/>
      <w:szCs w:val="16"/>
      <w:lang w:val="bg-BG"/>
    </w:rPr>
  </w:style>
  <w:style w:type="paragraph" w:styleId="ListParagraph">
    <w:name w:val="List Paragraph"/>
    <w:basedOn w:val="Normal"/>
    <w:uiPriority w:val="34"/>
    <w:qFormat/>
    <w:rsid w:val="00845CC1"/>
    <w:pPr>
      <w:ind w:left="720"/>
      <w:contextualSpacing/>
    </w:pPr>
  </w:style>
  <w:style w:type="paragraph" w:styleId="Header">
    <w:name w:val="header"/>
    <w:basedOn w:val="Normal"/>
    <w:link w:val="HeaderChar"/>
    <w:uiPriority w:val="99"/>
    <w:unhideWhenUsed/>
    <w:rsid w:val="000370A5"/>
    <w:pPr>
      <w:tabs>
        <w:tab w:val="center" w:pos="4536"/>
        <w:tab w:val="right" w:pos="9072"/>
      </w:tabs>
      <w:spacing w:line="240" w:lineRule="auto"/>
    </w:pPr>
  </w:style>
  <w:style w:type="character" w:customStyle="1" w:styleId="HeaderChar">
    <w:name w:val="Header Char"/>
    <w:basedOn w:val="DefaultParagraphFont"/>
    <w:link w:val="Header"/>
    <w:uiPriority w:val="99"/>
    <w:rsid w:val="000370A5"/>
    <w:rPr>
      <w:rFonts w:ascii="Times New Roman" w:hAnsi="Times New Roman" w:cs="Times New Roman"/>
      <w:sz w:val="24"/>
      <w:szCs w:val="24"/>
      <w:lang w:val="bg-BG"/>
    </w:rPr>
  </w:style>
  <w:style w:type="paragraph" w:styleId="Footer">
    <w:name w:val="footer"/>
    <w:basedOn w:val="Normal"/>
    <w:link w:val="FooterChar"/>
    <w:uiPriority w:val="99"/>
    <w:unhideWhenUsed/>
    <w:rsid w:val="000370A5"/>
    <w:pPr>
      <w:tabs>
        <w:tab w:val="center" w:pos="4536"/>
        <w:tab w:val="right" w:pos="9072"/>
      </w:tabs>
      <w:spacing w:line="240" w:lineRule="auto"/>
    </w:pPr>
  </w:style>
  <w:style w:type="character" w:customStyle="1" w:styleId="FooterChar">
    <w:name w:val="Footer Char"/>
    <w:basedOn w:val="DefaultParagraphFont"/>
    <w:link w:val="Footer"/>
    <w:uiPriority w:val="99"/>
    <w:rsid w:val="000370A5"/>
    <w:rPr>
      <w:rFonts w:ascii="Times New Roman" w:hAnsi="Times New Roman" w:cs="Times New Roman"/>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95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justice.government.bg/home/index/b646cc72-5865-42d1-b567-afd8ff3d7bd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12</Pages>
  <Words>4850</Words>
  <Characters>27646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Galina Dimitrova</cp:lastModifiedBy>
  <cp:revision>75</cp:revision>
  <dcterms:created xsi:type="dcterms:W3CDTF">2025-03-06T07:23:00Z</dcterms:created>
  <dcterms:modified xsi:type="dcterms:W3CDTF">2025-04-15T15:30:00Z</dcterms:modified>
</cp:coreProperties>
</file>