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DCF" w:rsidRPr="00E85948" w:rsidRDefault="006A6DCF" w:rsidP="00D56CD3">
      <w:pPr>
        <w:tabs>
          <w:tab w:val="left" w:pos="7262"/>
          <w:tab w:val="left" w:pos="8792"/>
        </w:tabs>
        <w:spacing w:line="360" w:lineRule="auto"/>
        <w:jc w:val="right"/>
        <w:rPr>
          <w:rFonts w:ascii="Verdana" w:hAnsi="Verdana" w:cs="Calibri"/>
          <w:bCs/>
          <w:sz w:val="20"/>
          <w:szCs w:val="20"/>
          <w:lang w:val="bg-BG"/>
        </w:rPr>
      </w:pPr>
      <w:r w:rsidRPr="00E85948">
        <w:rPr>
          <w:rFonts w:ascii="Verdana" w:hAnsi="Verdana" w:cs="Calibri"/>
          <w:bCs/>
          <w:sz w:val="20"/>
          <w:szCs w:val="20"/>
          <w:lang w:val="bg-BG"/>
        </w:rPr>
        <w:t>Проект</w:t>
      </w:r>
    </w:p>
    <w:p w:rsidR="00033D2A" w:rsidRDefault="00033D2A" w:rsidP="007D7302">
      <w:pPr>
        <w:tabs>
          <w:tab w:val="left" w:pos="7262"/>
          <w:tab w:val="left" w:pos="8792"/>
        </w:tabs>
        <w:spacing w:line="360" w:lineRule="auto"/>
        <w:jc w:val="center"/>
        <w:rPr>
          <w:rFonts w:ascii="Verdana" w:hAnsi="Verdana" w:cs="Calibri"/>
          <w:bCs/>
          <w:sz w:val="20"/>
          <w:szCs w:val="20"/>
          <w:lang w:val="bg-BG"/>
        </w:rPr>
      </w:pPr>
    </w:p>
    <w:p w:rsidR="00EB7597" w:rsidRPr="00962F8F" w:rsidRDefault="00EB7597" w:rsidP="007D7302">
      <w:pPr>
        <w:tabs>
          <w:tab w:val="left" w:pos="7262"/>
          <w:tab w:val="left" w:pos="8792"/>
        </w:tabs>
        <w:spacing w:line="360" w:lineRule="auto"/>
        <w:jc w:val="center"/>
        <w:rPr>
          <w:rFonts w:ascii="Verdana" w:eastAsiaTheme="minorEastAsia" w:hAnsi="Verdana"/>
          <w:bCs/>
          <w:sz w:val="20"/>
          <w:szCs w:val="20"/>
          <w:lang w:val="bg-BG" w:eastAsia="bg-BG"/>
        </w:rPr>
      </w:pPr>
      <w:bookmarkStart w:id="0" w:name="_GoBack"/>
      <w:bookmarkEnd w:id="0"/>
    </w:p>
    <w:p w:rsidR="00995F4D" w:rsidRPr="00E85948" w:rsidRDefault="00C05C2B" w:rsidP="007D7302">
      <w:pPr>
        <w:tabs>
          <w:tab w:val="left" w:pos="7262"/>
          <w:tab w:val="left" w:pos="8792"/>
        </w:tabs>
        <w:spacing w:line="360" w:lineRule="auto"/>
        <w:jc w:val="center"/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ТАРИФА</w:t>
      </w:r>
      <w:r w:rsidR="007D7302">
        <w:rPr>
          <w:rFonts w:ascii="Verdana" w:eastAsiaTheme="minorEastAsia" w:hAnsi="Verdana"/>
          <w:bCs/>
          <w:sz w:val="20"/>
          <w:szCs w:val="20"/>
          <w:lang w:val="bg-BG" w:eastAsia="bg-BG"/>
        </w:rPr>
        <w:br/>
      </w:r>
      <w:r w:rsidR="00995F4D"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за таксите, които се заплащат при промяна на предназначението на земеделските земи</w:t>
      </w:r>
    </w:p>
    <w:p w:rsidR="00995F4D" w:rsidRDefault="00995F4D" w:rsidP="007D730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sz w:val="20"/>
          <w:szCs w:val="20"/>
          <w:lang w:val="bg-BG" w:eastAsia="bg-BG"/>
        </w:rPr>
      </w:pPr>
    </w:p>
    <w:p w:rsidR="00952E22" w:rsidRPr="00E85948" w:rsidRDefault="00952E22" w:rsidP="007D730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sz w:val="20"/>
          <w:szCs w:val="20"/>
          <w:lang w:val="bg-BG" w:eastAsia="bg-BG"/>
        </w:rPr>
      </w:pPr>
    </w:p>
    <w:p w:rsidR="00995F4D" w:rsidRPr="007D7302" w:rsidRDefault="00995F4D" w:rsidP="00C05C2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Cs/>
          <w:sz w:val="20"/>
          <w:szCs w:val="20"/>
          <w:lang w:val="bg-BG" w:eastAsia="bg-BG"/>
        </w:rPr>
      </w:pPr>
      <w:r w:rsidRPr="007D7302">
        <w:rPr>
          <w:rFonts w:ascii="Verdana" w:eastAsiaTheme="minorEastAsia" w:hAnsi="Verdana"/>
          <w:bCs/>
          <w:sz w:val="20"/>
          <w:szCs w:val="20"/>
          <w:lang w:val="bg-BG" w:eastAsia="bg-BG"/>
        </w:rPr>
        <w:t>Раздел I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Общи положения</w:t>
      </w:r>
    </w:p>
    <w:p w:rsidR="00995F4D" w:rsidRPr="00952E22" w:rsidRDefault="00995F4D" w:rsidP="00952E2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1.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С тарифата се определя размерът на таксите, които се заплащат при промяна на предназначението на земеделските земи за неземеделски нужди.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2.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При изграждане на разсадници и други обекти за производство на земеделска продукция, с изключение на оранжерии, такса се заплаща само за тази част от земята, която се застроява със спомагателни сгради, съоръжения и комуникации и от нея пряко не се получава земеделска продукция.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3.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Таксата за всички спомагателни и допълнителни обекти, за инженерната инфраструктура и комуникациите, намиращи се във и извън границите на площадката (трасето) на основния обект, се определя в зависимост от вида на обекта, за който се иска промяна на предназначението на земеделските земи.</w:t>
      </w:r>
    </w:p>
    <w:p w:rsidR="00BC3ECE" w:rsidRPr="00E85948" w:rsidRDefault="00BC3ECE" w:rsidP="00C05C2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</w:pPr>
    </w:p>
    <w:p w:rsidR="00995F4D" w:rsidRPr="006428E0" w:rsidRDefault="00995F4D" w:rsidP="006428E0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Cs/>
          <w:sz w:val="20"/>
          <w:szCs w:val="20"/>
          <w:lang w:val="bg-BG" w:eastAsia="bg-BG"/>
        </w:rPr>
      </w:pPr>
      <w:r w:rsidRPr="006428E0">
        <w:rPr>
          <w:rFonts w:ascii="Verdana" w:eastAsiaTheme="minorEastAsia" w:hAnsi="Verdana"/>
          <w:bCs/>
          <w:sz w:val="20"/>
          <w:szCs w:val="20"/>
          <w:lang w:val="bg-BG" w:eastAsia="bg-BG"/>
        </w:rPr>
        <w:t>Раздел II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Определяне на таксата за промяна на предназначението на земеделска земя за неземеделски нужди</w:t>
      </w:r>
    </w:p>
    <w:p w:rsidR="00995F4D" w:rsidRPr="00952E22" w:rsidRDefault="00995F4D" w:rsidP="00952E22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4.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Размерът на таксата за промяна на предназначението на земеделска земя се определя от: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1. бонитетната категория на земеделската земя, посочена в акта за категоризация, изготвен съгласно Наредбата за категоризиране на земеделските земи при промяна на тяхното предназначение (ДВ, бр. 90 от 1996 г.);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2. размера на земята, включена в границите на определената площадка или трасе на обекта;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3. местонахождението на земята съобразно категорията на населеното място, определена по реда на чл. 36, ал. 2 от Закона за административно-териториалното устройство на Република България; 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4. вида на обекта;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5. възможността за напояване.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lastRenderedPageBreak/>
        <w:t>Чл. 5.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(1) Размерът на таксата се определя по формулата: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Т = (СББ x Кплощ x Кк x Кпол)/1,95583,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където: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Т е таксата за промяна на предназначението на 1 дка земеделска земя (евро);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СББ </w:t>
      </w:r>
      <w:r w:rsidR="00952E22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средният бонитетен бал за съответната категория земеделска земя при неполивни условия; за некатегоризируема земя СББ е 2,5;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Кплощ </w:t>
      </w:r>
      <w:r w:rsidR="00952E22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коефициентът за площта на земята, необходима за обекта;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Кк </w:t>
      </w:r>
      <w:r w:rsidR="00952E22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коефициентът за категорията на населеното място;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Кпол </w:t>
      </w:r>
      <w:r w:rsidR="00952E22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коефициентът за поливност.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(2) Коефициентът за площта на земята се определя в зависимост от размера на земята, необходима за обекта, и от вида на обекта, както следва: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1. за обектите по чл. 6</w:t>
      </w:r>
      <w:r w:rsidR="00FE239D">
        <w:rPr>
          <w:rFonts w:ascii="Verdana" w:eastAsiaTheme="minorEastAsia" w:hAnsi="Verdana"/>
          <w:sz w:val="20"/>
          <w:szCs w:val="20"/>
          <w:lang w:val="bg-BG" w:eastAsia="bg-BG"/>
        </w:rPr>
        <w:t xml:space="preserve"> и чл. 8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: 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а) при площ до 1 дка включително </w:t>
      </w:r>
      <w:r w:rsidR="006428E0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2,40;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б) при площ над 1 до 5 дка включително </w:t>
      </w:r>
      <w:r w:rsidR="006428E0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3,60;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в) при площ над 5 до 10 дка включително </w:t>
      </w:r>
      <w:r w:rsidR="006428E0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4,80;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г) при площ над 10 до 20 дка включително – 6,00;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д) при площ над 20 до 50 дка включително – 6,05;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е) при площ над 50 до 100 дка включително – 6,10;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ж) при площ над 100 дка – 6,15;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1а. за обекти на енергетиката: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а) при площ до 10 дка включително – 3,00;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б) при площ над 10 дка до 100 дка включително – 4,00;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в) при площ над 100 дка – 5,00;</w:t>
      </w:r>
    </w:p>
    <w:p w:rsidR="00995F4D" w:rsidRPr="00E85948" w:rsidRDefault="00E85948" w:rsidP="00962F8F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2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. за имоти, за които предложения за промяна на предназначението са внесени от един и същ собственик или от лице, което има право да строи в чужд имот, коефициентът за площ по т. 1 се определя въз основа на сумата от площите на всички имоти.</w:t>
      </w:r>
    </w:p>
    <w:p w:rsidR="00BC6BB9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(3) </w:t>
      </w:r>
      <w:r w:rsidR="00BC6BB9" w:rsidRPr="00BC6BB9">
        <w:rPr>
          <w:rFonts w:ascii="Verdana" w:eastAsiaTheme="minorEastAsia" w:hAnsi="Verdana"/>
          <w:sz w:val="20"/>
          <w:szCs w:val="20"/>
          <w:lang w:val="bg-BG" w:eastAsia="bg-BG"/>
        </w:rPr>
        <w:t>Коефициентът за категорията на населеното място се определя в зависимост от групата по категория на населеното място и от вида на обекта, както следва:</w:t>
      </w:r>
    </w:p>
    <w:tbl>
      <w:tblPr>
        <w:tblStyle w:val="TableGrid"/>
        <w:tblW w:w="8789" w:type="dxa"/>
        <w:jc w:val="center"/>
        <w:tblLook w:val="04A0" w:firstRow="1" w:lastRow="0" w:firstColumn="1" w:lastColumn="0" w:noHBand="0" w:noVBand="1"/>
      </w:tblPr>
      <w:tblGrid>
        <w:gridCol w:w="4819"/>
        <w:gridCol w:w="1985"/>
        <w:gridCol w:w="1985"/>
      </w:tblGrid>
      <w:tr w:rsidR="00952E22" w:rsidTr="00952E22">
        <w:trPr>
          <w:jc w:val="center"/>
        </w:trPr>
        <w:tc>
          <w:tcPr>
            <w:tcW w:w="4819" w:type="dxa"/>
            <w:vMerge w:val="restart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Групи по категория</w:t>
            </w:r>
          </w:p>
        </w:tc>
        <w:tc>
          <w:tcPr>
            <w:tcW w:w="3970" w:type="dxa"/>
            <w:gridSpan w:val="2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Вид на обекта</w:t>
            </w:r>
          </w:p>
        </w:tc>
      </w:tr>
      <w:tr w:rsidR="00952E22" w:rsidTr="00952E22">
        <w:trPr>
          <w:jc w:val="center"/>
        </w:trPr>
        <w:tc>
          <w:tcPr>
            <w:tcW w:w="4819" w:type="dxa"/>
            <w:vMerge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both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</w:p>
        </w:tc>
        <w:tc>
          <w:tcPr>
            <w:tcW w:w="1985" w:type="dxa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по чл. 6</w:t>
            </w:r>
          </w:p>
        </w:tc>
        <w:tc>
          <w:tcPr>
            <w:tcW w:w="1985" w:type="dxa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по чл. 7 и 8</w:t>
            </w:r>
          </w:p>
        </w:tc>
      </w:tr>
      <w:tr w:rsidR="00962F8F" w:rsidTr="00952E22">
        <w:trPr>
          <w:jc w:val="center"/>
        </w:trPr>
        <w:tc>
          <w:tcPr>
            <w:tcW w:w="4819" w:type="dxa"/>
            <w:vAlign w:val="center"/>
          </w:tcPr>
          <w:p w:rsidR="00962F8F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985" w:type="dxa"/>
            <w:vAlign w:val="center"/>
          </w:tcPr>
          <w:p w:rsidR="00962F8F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985" w:type="dxa"/>
            <w:vAlign w:val="center"/>
          </w:tcPr>
          <w:p w:rsidR="00962F8F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jc w:val="center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3</w:t>
            </w:r>
          </w:p>
        </w:tc>
      </w:tr>
      <w:tr w:rsidR="00952E22" w:rsidTr="00952E22">
        <w:trPr>
          <w:jc w:val="center"/>
        </w:trPr>
        <w:tc>
          <w:tcPr>
            <w:tcW w:w="4819" w:type="dxa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left="284" w:hanging="284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6428E0">
              <w:rPr>
                <w:rFonts w:ascii="Verdana" w:eastAsiaTheme="minorEastAsia" w:hAnsi="Verdana"/>
                <w:spacing w:val="-4"/>
                <w:sz w:val="20"/>
                <w:szCs w:val="20"/>
                <w:lang w:val="bg-BG" w:eastAsia="bg-BG"/>
              </w:rPr>
              <w:t>1. За земи в землищата на Столичната община, населени места от I, II и III категория, национални курорти и землища на населени места, граничещи с морската брегова ивица</w:t>
            </w:r>
          </w:p>
        </w:tc>
        <w:tc>
          <w:tcPr>
            <w:tcW w:w="1985" w:type="dxa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right="567"/>
              <w:jc w:val="right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13,00</w:t>
            </w:r>
          </w:p>
        </w:tc>
        <w:tc>
          <w:tcPr>
            <w:tcW w:w="1985" w:type="dxa"/>
            <w:vAlign w:val="center"/>
          </w:tcPr>
          <w:p w:rsidR="00952E22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right="567"/>
              <w:jc w:val="right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1,20</w:t>
            </w:r>
          </w:p>
        </w:tc>
      </w:tr>
      <w:tr w:rsidR="00952E22" w:rsidTr="00952E22">
        <w:trPr>
          <w:jc w:val="center"/>
        </w:trPr>
        <w:tc>
          <w:tcPr>
            <w:tcW w:w="4819" w:type="dxa"/>
            <w:vAlign w:val="center"/>
          </w:tcPr>
          <w:p w:rsidR="00952E22" w:rsidRPr="006428E0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left="284" w:hanging="284"/>
              <w:rPr>
                <w:rFonts w:ascii="Verdana" w:eastAsiaTheme="minorEastAsia" w:hAnsi="Verdana"/>
                <w:spacing w:val="-4"/>
                <w:sz w:val="20"/>
                <w:szCs w:val="20"/>
                <w:lang w:val="bg-BG" w:eastAsia="bg-BG"/>
              </w:rPr>
            </w:pPr>
            <w:r w:rsidRPr="006428E0">
              <w:rPr>
                <w:rFonts w:ascii="Verdana" w:eastAsiaTheme="minorEastAsia" w:hAnsi="Verdana"/>
                <w:spacing w:val="-4"/>
                <w:sz w:val="20"/>
                <w:szCs w:val="20"/>
                <w:lang w:val="bg-BG" w:eastAsia="bg-BG"/>
              </w:rPr>
              <w:t>2. За земи в землищата на населени места от IV и V категория</w:t>
            </w:r>
          </w:p>
        </w:tc>
        <w:tc>
          <w:tcPr>
            <w:tcW w:w="1985" w:type="dxa"/>
            <w:vAlign w:val="center"/>
          </w:tcPr>
          <w:p w:rsidR="00952E22" w:rsidRPr="00E85948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right="567"/>
              <w:jc w:val="right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9,00</w:t>
            </w:r>
          </w:p>
        </w:tc>
        <w:tc>
          <w:tcPr>
            <w:tcW w:w="1985" w:type="dxa"/>
            <w:vAlign w:val="center"/>
          </w:tcPr>
          <w:p w:rsidR="00952E22" w:rsidRPr="00E85948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right="567"/>
              <w:jc w:val="right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0,80</w:t>
            </w:r>
          </w:p>
        </w:tc>
      </w:tr>
      <w:tr w:rsidR="00952E22" w:rsidTr="00952E22">
        <w:trPr>
          <w:jc w:val="center"/>
        </w:trPr>
        <w:tc>
          <w:tcPr>
            <w:tcW w:w="4819" w:type="dxa"/>
            <w:vAlign w:val="center"/>
          </w:tcPr>
          <w:p w:rsidR="00952E22" w:rsidRPr="006428E0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left="284" w:hanging="284"/>
              <w:rPr>
                <w:rFonts w:ascii="Verdana" w:eastAsiaTheme="minorEastAsia" w:hAnsi="Verdana"/>
                <w:spacing w:val="-4"/>
                <w:sz w:val="20"/>
                <w:szCs w:val="20"/>
                <w:lang w:val="bg-BG" w:eastAsia="bg-BG"/>
              </w:rPr>
            </w:pPr>
            <w:r w:rsidRPr="006428E0">
              <w:rPr>
                <w:rFonts w:ascii="Verdana" w:eastAsiaTheme="minorEastAsia" w:hAnsi="Verdana"/>
                <w:spacing w:val="-4"/>
                <w:sz w:val="20"/>
                <w:szCs w:val="20"/>
                <w:lang w:val="bg-BG" w:eastAsia="bg-BG"/>
              </w:rPr>
              <w:t>3. За земи в землищата на населени места от VI, VII и VIII категория</w:t>
            </w:r>
          </w:p>
        </w:tc>
        <w:tc>
          <w:tcPr>
            <w:tcW w:w="1985" w:type="dxa"/>
            <w:vAlign w:val="center"/>
          </w:tcPr>
          <w:p w:rsidR="00952E22" w:rsidRPr="00E85948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right="567"/>
              <w:jc w:val="right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6,00</w:t>
            </w:r>
          </w:p>
        </w:tc>
        <w:tc>
          <w:tcPr>
            <w:tcW w:w="1985" w:type="dxa"/>
            <w:vAlign w:val="center"/>
          </w:tcPr>
          <w:p w:rsidR="00952E22" w:rsidRPr="00E85948" w:rsidRDefault="00952E22" w:rsidP="00952E22">
            <w:pPr>
              <w:widowControl w:val="0"/>
              <w:autoSpaceDE w:val="0"/>
              <w:autoSpaceDN w:val="0"/>
              <w:adjustRightInd w:val="0"/>
              <w:spacing w:line="336" w:lineRule="auto"/>
              <w:ind w:right="567"/>
              <w:jc w:val="right"/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</w:pPr>
            <w:r w:rsidRPr="00E85948">
              <w:rPr>
                <w:rFonts w:ascii="Verdana" w:eastAsiaTheme="minorEastAsia" w:hAnsi="Verdana"/>
                <w:sz w:val="20"/>
                <w:szCs w:val="20"/>
                <w:lang w:val="bg-BG" w:eastAsia="bg-BG"/>
              </w:rPr>
              <w:t>0,50</w:t>
            </w:r>
          </w:p>
        </w:tc>
      </w:tr>
    </w:tbl>
    <w:p w:rsidR="00962F8F" w:rsidRDefault="00962F8F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(4) За линейни обекти коефициентът по ал. 3 е 1,00.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(5) Коефициентът за поливност при поливни условия е 1,30, а при неполивни </w:t>
      </w:r>
      <w:r w:rsidR="00952E22">
        <w:rPr>
          <w:rFonts w:ascii="Verdana" w:eastAsiaTheme="minorEastAsia" w:hAnsi="Verdana"/>
          <w:sz w:val="20"/>
          <w:szCs w:val="20"/>
          <w:lang w:val="bg-BG" w:eastAsia="bg-BG"/>
        </w:rPr>
        <w:t>–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1,00.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6.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При промяна на предназначението на земеделската земя за изграждане на обекти, които са различни от посочените в чл. </w:t>
      </w:r>
      <w:r w:rsidR="00E85948" w:rsidRPr="00E85948">
        <w:rPr>
          <w:rFonts w:ascii="Verdana" w:eastAsiaTheme="minorEastAsia" w:hAnsi="Verdana"/>
          <w:sz w:val="20"/>
          <w:szCs w:val="20"/>
          <w:lang w:val="bg-BG" w:eastAsia="bg-BG"/>
        </w:rPr>
        <w:t>7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и не са обекти на енергетиката, размерът на таксата се определя по реда на чл. 5, като се ползва съответният коефициент в колона 2 на таблицата към чл. 5, ал. 3.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 xml:space="preserve">Чл. </w:t>
      </w:r>
      <w:r w:rsidR="00E85948"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7</w:t>
      </w: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Размерът на таксата се определя по реда на чл. 5, като се ползва съответният коефициент в колона 3 на таблицата към чл. 5, ал. 3 , при промяна на предназначението на земеделската земя за изграждане на: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1. обекти – частна държавна и частна общинска собственост;</w:t>
      </w:r>
    </w:p>
    <w:p w:rsidR="00995F4D" w:rsidRPr="00E85948" w:rsidRDefault="00E85948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2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. обекти на отбраната и националната сигурност;</w:t>
      </w:r>
    </w:p>
    <w:p w:rsidR="00995F4D" w:rsidRPr="00E85948" w:rsidRDefault="00E85948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3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. обекти на хранително-вкусовата промишленост; стокови тържища за непреработена растителна и животинска продукция, както и обекти, свързани с производството, съхранението и преработката на селскостопанска продукция и обекти за съхраняване, поддържане и ремонт на селскостопанска техника, за нуждите на лица, регистрирани като земеделски производители по реда на Наредба № 3 от </w:t>
      </w:r>
      <w:r w:rsidR="00033D2A">
        <w:rPr>
          <w:rFonts w:ascii="Verdana" w:eastAsiaTheme="minorEastAsia" w:hAnsi="Verdana"/>
          <w:sz w:val="20"/>
          <w:szCs w:val="20"/>
          <w:lang w:val="bg-BG" w:eastAsia="bg-BG"/>
        </w:rPr>
        <w:br/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1999</w:t>
      </w:r>
      <w:r w:rsidR="00033D2A">
        <w:rPr>
          <w:rFonts w:ascii="Verdana" w:eastAsiaTheme="minorEastAsia" w:hAnsi="Verdana"/>
          <w:sz w:val="20"/>
          <w:szCs w:val="20"/>
          <w:lang w:val="bg-BG" w:eastAsia="bg-BG"/>
        </w:rPr>
        <w:t xml:space="preserve"> 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г. за създаване и поддържане на регистър на земеделските стопани (ДВ, бр. 10 от 1999</w:t>
      </w:r>
      <w:r w:rsidR="00033D2A">
        <w:rPr>
          <w:rFonts w:ascii="Verdana" w:eastAsiaTheme="minorEastAsia" w:hAnsi="Verdana"/>
          <w:sz w:val="20"/>
          <w:szCs w:val="20"/>
          <w:lang w:val="bg-BG" w:eastAsia="bg-BG"/>
        </w:rPr>
        <w:t xml:space="preserve"> 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г.) или с регистрирана земеделска техника по реда на Наредба № 2 от </w:t>
      </w:r>
      <w:r w:rsidR="00033D2A">
        <w:rPr>
          <w:rFonts w:ascii="Verdana" w:eastAsiaTheme="minorEastAsia" w:hAnsi="Verdana"/>
          <w:sz w:val="20"/>
          <w:szCs w:val="20"/>
          <w:lang w:val="bg-BG" w:eastAsia="bg-BG"/>
        </w:rPr>
        <w:br/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2016 г. за условията и реда за регистрация на техниката по Закона за регистрация и контрол на земеделската и горската техника (ДВ, бр. 11 от 2016 г.);</w:t>
      </w:r>
    </w:p>
    <w:p w:rsidR="00995F4D" w:rsidRPr="00E85948" w:rsidRDefault="00E85948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4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. хидромелиоративна инфраструктура;</w:t>
      </w:r>
    </w:p>
    <w:p w:rsidR="00995F4D" w:rsidRPr="00E85948" w:rsidRDefault="00E85948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5</w:t>
      </w:r>
      <w:r w:rsidR="00995F4D" w:rsidRPr="00E85948">
        <w:rPr>
          <w:rFonts w:ascii="Verdana" w:eastAsiaTheme="minorEastAsia" w:hAnsi="Verdana"/>
          <w:sz w:val="20"/>
          <w:szCs w:val="20"/>
          <w:lang w:val="bg-BG" w:eastAsia="bg-BG"/>
        </w:rPr>
        <w:t>. игрални полета на игрища за голф.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8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>. За обектите на енергетиката таксата се определя по реда на чл. 5, като се ползва съответният коефициент в колона 3 на таблицата към чл. 5, ал. 3.</w:t>
      </w:r>
    </w:p>
    <w:p w:rsidR="00E85948" w:rsidRPr="00E85948" w:rsidRDefault="00E85948" w:rsidP="00A01AA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</w:pPr>
    </w:p>
    <w:p w:rsidR="00995F4D" w:rsidRPr="006428E0" w:rsidRDefault="00995F4D" w:rsidP="00C05C2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Cs/>
          <w:sz w:val="20"/>
          <w:szCs w:val="20"/>
          <w:lang w:val="bg-BG" w:eastAsia="bg-BG"/>
        </w:rPr>
      </w:pPr>
      <w:r w:rsidRPr="006428E0">
        <w:rPr>
          <w:rFonts w:ascii="Verdana" w:eastAsiaTheme="minorEastAsia" w:hAnsi="Verdana"/>
          <w:bCs/>
          <w:sz w:val="20"/>
          <w:szCs w:val="20"/>
          <w:lang w:val="bg-BG" w:eastAsia="bg-BG"/>
        </w:rPr>
        <w:t>Раздел III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 xml:space="preserve">Такси по искания за разглеждане на предложения по реда на Закона за опазване на земеделските земи, за извършване на експертизи и за издаване на документи за промяна на предназначението на земеделските земи 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9.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(1) При внасяне на искане за разглеждане по реда на Закона за опазване на земеделските земи (ЗОЗЗ) се заплаща еднократно такса в размер 102 евро за обекти с площ до 50 дка и 260 евро за обекти с площ над 50 дка.</w:t>
      </w: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(2) Таксата по ал. 1 се заплаща от собственика на земята или от инвеститора на обекта и включва и издаването на препис-извлечение от решението на комисиите, 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lastRenderedPageBreak/>
        <w:t>заверка на скицата и подробен устройствен план на обекта и издаване на удостоверения по чл. 24, ал. 7 – 9 или чл. 24б от ЗОЗЗ.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1</w:t>
      </w:r>
      <w:r w:rsidR="00E85948"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0</w:t>
      </w: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При внасяне на искане за издаване на акт за категорията на земята се заплаща такса 25 евро.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1</w:t>
      </w:r>
      <w:r w:rsidR="00E85948"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1</w:t>
      </w: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При внасяне на искане за издаване на заверено копие или на препис-извлечение от предходно решение или друг документ (за наличие на решение, за валидност на решение, за изготвяне на справка, за издаване на становище по реда на Наредба № 19 от 2012 г. за строителство в земеделските земи без промяна на предназначението им и др.), свързан с прилагането на ЗОЗЗ, се заплаща такса 25 евро.</w:t>
      </w:r>
    </w:p>
    <w:p w:rsidR="00C05C2B" w:rsidRPr="00952E22" w:rsidRDefault="00C05C2B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bCs/>
          <w:sz w:val="20"/>
          <w:szCs w:val="20"/>
          <w:lang w:val="bg-BG" w:eastAsia="bg-BG"/>
        </w:rPr>
      </w:pPr>
    </w:p>
    <w:p w:rsidR="00995F4D" w:rsidRPr="00E85948" w:rsidRDefault="00995F4D" w:rsidP="00C05C2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eastAsiaTheme="minorEastAsia" w:hAnsi="Verdana"/>
          <w:sz w:val="20"/>
          <w:szCs w:val="20"/>
          <w:lang w:val="bg-BG" w:eastAsia="bg-BG"/>
        </w:rPr>
      </w:pP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Чл. 1</w:t>
      </w:r>
      <w:r w:rsidR="00E85948"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2</w:t>
      </w:r>
      <w:r w:rsidRPr="00E85948">
        <w:rPr>
          <w:rFonts w:ascii="Verdana" w:eastAsiaTheme="minorEastAsia" w:hAnsi="Verdana"/>
          <w:b/>
          <w:bCs/>
          <w:sz w:val="20"/>
          <w:szCs w:val="20"/>
          <w:lang w:val="bg-BG" w:eastAsia="bg-BG"/>
        </w:rPr>
        <w:t>.</w:t>
      </w:r>
      <w:r w:rsidRPr="00E85948">
        <w:rPr>
          <w:rFonts w:ascii="Verdana" w:eastAsiaTheme="minorEastAsia" w:hAnsi="Verdana"/>
          <w:sz w:val="20"/>
          <w:szCs w:val="20"/>
          <w:lang w:val="bg-BG" w:eastAsia="bg-BG"/>
        </w:rPr>
        <w:t xml:space="preserve"> Таксите по тарифата се внасят по бюджета на Министерството на земеделието и храните.</w:t>
      </w:r>
    </w:p>
    <w:p w:rsidR="00995F4D" w:rsidRDefault="00995F4D" w:rsidP="003735C5">
      <w:pPr>
        <w:widowControl w:val="0"/>
        <w:autoSpaceDE w:val="0"/>
        <w:autoSpaceDN w:val="0"/>
        <w:adjustRightInd w:val="0"/>
        <w:spacing w:line="360" w:lineRule="auto"/>
        <w:ind w:firstLine="720"/>
        <w:rPr>
          <w:rFonts w:ascii="Verdana" w:eastAsiaTheme="minorEastAsia" w:hAnsi="Verdana"/>
          <w:sz w:val="20"/>
          <w:szCs w:val="20"/>
          <w:lang w:val="bg-BG" w:eastAsia="bg-BG"/>
        </w:rPr>
      </w:pPr>
    </w:p>
    <w:p w:rsidR="00260F5F" w:rsidRPr="00E85948" w:rsidRDefault="00260F5F" w:rsidP="00C05C2B">
      <w:pPr>
        <w:pStyle w:val="title12"/>
        <w:spacing w:before="0" w:beforeAutospacing="0" w:after="0" w:afterAutospacing="0" w:line="360" w:lineRule="auto"/>
        <w:rPr>
          <w:rFonts w:ascii="Verdana" w:hAnsi="Verdana"/>
          <w:sz w:val="20"/>
          <w:szCs w:val="20"/>
          <w:lang w:val="bg-BG"/>
        </w:rPr>
      </w:pPr>
      <w:r w:rsidRPr="00E85948">
        <w:rPr>
          <w:rFonts w:ascii="Verdana" w:hAnsi="Verdana"/>
          <w:sz w:val="20"/>
          <w:szCs w:val="20"/>
          <w:lang w:val="bg-BG"/>
        </w:rPr>
        <w:t>Заключителна разпоредба</w:t>
      </w:r>
    </w:p>
    <w:p w:rsidR="00EB0648" w:rsidRDefault="00EB0648" w:rsidP="003735C5">
      <w:pPr>
        <w:spacing w:line="360" w:lineRule="auto"/>
        <w:ind w:firstLine="720"/>
        <w:textAlignment w:val="center"/>
        <w:rPr>
          <w:rFonts w:ascii="Verdana" w:hAnsi="Verdana"/>
          <w:sz w:val="20"/>
          <w:szCs w:val="22"/>
          <w:lang w:val="bg-BG"/>
        </w:rPr>
      </w:pPr>
    </w:p>
    <w:p w:rsidR="00E85948" w:rsidRPr="00E85948" w:rsidRDefault="00260F5F" w:rsidP="00C05C2B">
      <w:pPr>
        <w:spacing w:line="360" w:lineRule="auto"/>
        <w:ind w:firstLine="720"/>
        <w:jc w:val="both"/>
        <w:textAlignment w:val="center"/>
        <w:rPr>
          <w:rStyle w:val="newdocreference3"/>
          <w:rFonts w:ascii="Verdana" w:hAnsi="Verdana"/>
          <w:color w:val="auto"/>
          <w:sz w:val="20"/>
          <w:szCs w:val="20"/>
          <w:u w:val="none"/>
          <w:lang w:val="bg-BG"/>
        </w:rPr>
      </w:pPr>
      <w:r w:rsidRPr="00E85948">
        <w:rPr>
          <w:rFonts w:ascii="Verdana" w:hAnsi="Verdana"/>
          <w:b/>
          <w:sz w:val="20"/>
          <w:szCs w:val="20"/>
          <w:lang w:val="bg-BG"/>
        </w:rPr>
        <w:t>Параграф единствен.</w:t>
      </w:r>
      <w:r w:rsidRPr="00E85948">
        <w:rPr>
          <w:rFonts w:ascii="Verdana" w:hAnsi="Verdana"/>
          <w:sz w:val="20"/>
          <w:szCs w:val="20"/>
          <w:lang w:val="bg-BG"/>
        </w:rPr>
        <w:t xml:space="preserve"> Тарифата се приема на основание </w:t>
      </w:r>
      <w:r w:rsidRPr="00E85948">
        <w:rPr>
          <w:rStyle w:val="newdocreference3"/>
          <w:rFonts w:ascii="Verdana" w:hAnsi="Verdana"/>
          <w:color w:val="auto"/>
          <w:sz w:val="20"/>
          <w:szCs w:val="20"/>
          <w:u w:val="none"/>
          <w:lang w:val="bg-BG"/>
        </w:rPr>
        <w:t xml:space="preserve">чл. </w:t>
      </w:r>
      <w:r w:rsidR="00E85948" w:rsidRPr="00E85948">
        <w:rPr>
          <w:rStyle w:val="newdocreference3"/>
          <w:rFonts w:ascii="Verdana" w:hAnsi="Verdana"/>
          <w:color w:val="auto"/>
          <w:sz w:val="20"/>
          <w:szCs w:val="20"/>
          <w:u w:val="none"/>
          <w:lang w:val="bg-BG"/>
        </w:rPr>
        <w:t>30</w:t>
      </w:r>
      <w:r w:rsidR="004D6786" w:rsidRPr="00E85948">
        <w:rPr>
          <w:rStyle w:val="newdocreference3"/>
          <w:rFonts w:ascii="Verdana" w:hAnsi="Verdana"/>
          <w:color w:val="auto"/>
          <w:sz w:val="20"/>
          <w:szCs w:val="20"/>
          <w:u w:val="none"/>
          <w:lang w:val="bg-BG"/>
        </w:rPr>
        <w:t xml:space="preserve">, ал. </w:t>
      </w:r>
      <w:r w:rsidR="00E85948" w:rsidRPr="00E85948">
        <w:rPr>
          <w:rStyle w:val="newdocreference3"/>
          <w:rFonts w:ascii="Verdana" w:hAnsi="Verdana"/>
          <w:color w:val="auto"/>
          <w:sz w:val="20"/>
          <w:szCs w:val="20"/>
          <w:u w:val="none"/>
          <w:lang w:val="bg-BG"/>
        </w:rPr>
        <w:t>1 от Закона за опазване на земеделските земи</w:t>
      </w:r>
      <w:r w:rsidR="00BB56BD">
        <w:rPr>
          <w:rStyle w:val="newdocreference3"/>
          <w:rFonts w:ascii="Verdana" w:hAnsi="Verdana"/>
          <w:color w:val="auto"/>
          <w:sz w:val="20"/>
          <w:szCs w:val="20"/>
          <w:u w:val="none"/>
          <w:lang w:val="bg-BG"/>
        </w:rPr>
        <w:t>.</w:t>
      </w:r>
    </w:p>
    <w:sectPr w:rsidR="00E85948" w:rsidRPr="00E85948" w:rsidSect="00C05C2B">
      <w:footerReference w:type="default" r:id="rId7"/>
      <w:headerReference w:type="first" r:id="rId8"/>
      <w:pgSz w:w="11907" w:h="16840" w:code="9"/>
      <w:pgMar w:top="1134" w:right="1134" w:bottom="567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5BB" w:rsidRDefault="00E935BB" w:rsidP="00EB0648">
      <w:r>
        <w:separator/>
      </w:r>
    </w:p>
  </w:endnote>
  <w:endnote w:type="continuationSeparator" w:id="0">
    <w:p w:rsidR="00E935BB" w:rsidRDefault="00E935BB" w:rsidP="00EB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B57" w:rsidRPr="00C05C2B" w:rsidRDefault="008C1B57" w:rsidP="00594702">
    <w:pPr>
      <w:pStyle w:val="Footer"/>
      <w:jc w:val="right"/>
      <w:rPr>
        <w:rFonts w:ascii="Verdana" w:hAnsi="Verdana"/>
        <w:sz w:val="16"/>
        <w:szCs w:val="16"/>
      </w:rPr>
    </w:pPr>
    <w:r w:rsidRPr="00C05C2B">
      <w:rPr>
        <w:rFonts w:ascii="Verdana" w:hAnsi="Verdana"/>
        <w:sz w:val="16"/>
        <w:szCs w:val="16"/>
      </w:rPr>
      <w:fldChar w:fldCharType="begin"/>
    </w:r>
    <w:r w:rsidRPr="00C05C2B">
      <w:rPr>
        <w:rFonts w:ascii="Verdana" w:hAnsi="Verdana"/>
        <w:sz w:val="16"/>
        <w:szCs w:val="16"/>
      </w:rPr>
      <w:instrText xml:space="preserve"> PAGE   \* MERGEFORMAT </w:instrText>
    </w:r>
    <w:r w:rsidRPr="00C05C2B">
      <w:rPr>
        <w:rFonts w:ascii="Verdana" w:hAnsi="Verdana"/>
        <w:sz w:val="16"/>
        <w:szCs w:val="16"/>
      </w:rPr>
      <w:fldChar w:fldCharType="separate"/>
    </w:r>
    <w:r w:rsidR="00EB7597">
      <w:rPr>
        <w:rFonts w:ascii="Verdana" w:hAnsi="Verdana"/>
        <w:noProof/>
        <w:sz w:val="16"/>
        <w:szCs w:val="16"/>
      </w:rPr>
      <w:t>2</w:t>
    </w:r>
    <w:r w:rsidRPr="00C05C2B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5BB" w:rsidRDefault="00E935BB" w:rsidP="00EB0648">
      <w:r>
        <w:separator/>
      </w:r>
    </w:p>
  </w:footnote>
  <w:footnote w:type="continuationSeparator" w:id="0">
    <w:p w:rsidR="00E935BB" w:rsidRDefault="00E935BB" w:rsidP="00EB0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1B57" w:rsidRPr="00C05C2B" w:rsidRDefault="008C1B57" w:rsidP="00EB0648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rPr>
        <w:rFonts w:ascii="Verdana" w:hAnsi="Verdana"/>
        <w:sz w:val="16"/>
        <w:szCs w:val="16"/>
        <w:lang w:val="bg-BG"/>
      </w:rPr>
    </w:pPr>
    <w:r w:rsidRPr="00C05C2B">
      <w:rPr>
        <w:rFonts w:ascii="Verdana" w:hAnsi="Verdana"/>
        <w:sz w:val="16"/>
        <w:szCs w:val="16"/>
        <w:lang w:val="bg-BG"/>
      </w:rPr>
      <w:t>Класификация на информацията:</w:t>
    </w:r>
  </w:p>
  <w:p w:rsidR="008C1B57" w:rsidRPr="00C05C2B" w:rsidRDefault="008C1B57" w:rsidP="00EB0648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rPr>
        <w:rFonts w:ascii="Verdana" w:hAnsi="Verdana"/>
        <w:sz w:val="16"/>
        <w:szCs w:val="16"/>
        <w:lang w:val="bg-BG"/>
      </w:rPr>
    </w:pPr>
    <w:r w:rsidRPr="00C05C2B">
      <w:rPr>
        <w:rFonts w:ascii="Verdana" w:hAnsi="Verdana"/>
        <w:bCs/>
        <w:sz w:val="16"/>
        <w:szCs w:val="16"/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E28C6"/>
    <w:multiLevelType w:val="hybridMultilevel"/>
    <w:tmpl w:val="480C7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C359E"/>
    <w:multiLevelType w:val="hybridMultilevel"/>
    <w:tmpl w:val="480C7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A6D20"/>
    <w:multiLevelType w:val="hybridMultilevel"/>
    <w:tmpl w:val="0A0A94A6"/>
    <w:lvl w:ilvl="0" w:tplc="3B92A16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2FC"/>
    <w:rsid w:val="000027BB"/>
    <w:rsid w:val="00005164"/>
    <w:rsid w:val="00014B44"/>
    <w:rsid w:val="00014E58"/>
    <w:rsid w:val="00024735"/>
    <w:rsid w:val="00033D2A"/>
    <w:rsid w:val="00034FE2"/>
    <w:rsid w:val="00037621"/>
    <w:rsid w:val="00043959"/>
    <w:rsid w:val="000550EA"/>
    <w:rsid w:val="00062201"/>
    <w:rsid w:val="000656C6"/>
    <w:rsid w:val="00066E89"/>
    <w:rsid w:val="00076EA2"/>
    <w:rsid w:val="000A07AD"/>
    <w:rsid w:val="000A2B0A"/>
    <w:rsid w:val="000A3623"/>
    <w:rsid w:val="000B2F0E"/>
    <w:rsid w:val="000C0489"/>
    <w:rsid w:val="000C112B"/>
    <w:rsid w:val="000C2BA6"/>
    <w:rsid w:val="000C490B"/>
    <w:rsid w:val="000E6D27"/>
    <w:rsid w:val="000F0866"/>
    <w:rsid w:val="000F2330"/>
    <w:rsid w:val="00103523"/>
    <w:rsid w:val="0010716F"/>
    <w:rsid w:val="00121DA6"/>
    <w:rsid w:val="00126BD1"/>
    <w:rsid w:val="00147284"/>
    <w:rsid w:val="0015154E"/>
    <w:rsid w:val="00152F12"/>
    <w:rsid w:val="00196D14"/>
    <w:rsid w:val="00197233"/>
    <w:rsid w:val="001A24B2"/>
    <w:rsid w:val="001B1AF6"/>
    <w:rsid w:val="001D4556"/>
    <w:rsid w:val="001E27BB"/>
    <w:rsid w:val="002033D0"/>
    <w:rsid w:val="00203794"/>
    <w:rsid w:val="00217058"/>
    <w:rsid w:val="00252B09"/>
    <w:rsid w:val="00260F5F"/>
    <w:rsid w:val="00276704"/>
    <w:rsid w:val="002773DB"/>
    <w:rsid w:val="00277A01"/>
    <w:rsid w:val="00282528"/>
    <w:rsid w:val="0028330A"/>
    <w:rsid w:val="002834B8"/>
    <w:rsid w:val="0028398A"/>
    <w:rsid w:val="0029118B"/>
    <w:rsid w:val="00294176"/>
    <w:rsid w:val="00294FA9"/>
    <w:rsid w:val="002B6F68"/>
    <w:rsid w:val="002B7E3D"/>
    <w:rsid w:val="002C1B73"/>
    <w:rsid w:val="002E2849"/>
    <w:rsid w:val="002E645A"/>
    <w:rsid w:val="00307535"/>
    <w:rsid w:val="003105A6"/>
    <w:rsid w:val="0033564D"/>
    <w:rsid w:val="00335DB9"/>
    <w:rsid w:val="003463B3"/>
    <w:rsid w:val="003553DE"/>
    <w:rsid w:val="003735C5"/>
    <w:rsid w:val="0038181F"/>
    <w:rsid w:val="003A2F3C"/>
    <w:rsid w:val="003A6988"/>
    <w:rsid w:val="003B1BC2"/>
    <w:rsid w:val="003B3050"/>
    <w:rsid w:val="003C06A0"/>
    <w:rsid w:val="003C43C0"/>
    <w:rsid w:val="003D2D9F"/>
    <w:rsid w:val="003D3776"/>
    <w:rsid w:val="003D6B5E"/>
    <w:rsid w:val="003D7BEE"/>
    <w:rsid w:val="004307A6"/>
    <w:rsid w:val="0044534B"/>
    <w:rsid w:val="00454CF9"/>
    <w:rsid w:val="00464452"/>
    <w:rsid w:val="00476017"/>
    <w:rsid w:val="00480395"/>
    <w:rsid w:val="00483681"/>
    <w:rsid w:val="004C44A2"/>
    <w:rsid w:val="004C6070"/>
    <w:rsid w:val="004D6786"/>
    <w:rsid w:val="004E1506"/>
    <w:rsid w:val="004F6AB0"/>
    <w:rsid w:val="00503BEF"/>
    <w:rsid w:val="00511861"/>
    <w:rsid w:val="00513EF0"/>
    <w:rsid w:val="0051745A"/>
    <w:rsid w:val="00522952"/>
    <w:rsid w:val="005276E7"/>
    <w:rsid w:val="00535312"/>
    <w:rsid w:val="0055602C"/>
    <w:rsid w:val="00594702"/>
    <w:rsid w:val="005A1408"/>
    <w:rsid w:val="005B0153"/>
    <w:rsid w:val="005B0EB0"/>
    <w:rsid w:val="005B3E3B"/>
    <w:rsid w:val="005D3262"/>
    <w:rsid w:val="005E3132"/>
    <w:rsid w:val="005F13F9"/>
    <w:rsid w:val="005F18CE"/>
    <w:rsid w:val="00605FDC"/>
    <w:rsid w:val="00613662"/>
    <w:rsid w:val="00630E62"/>
    <w:rsid w:val="00634A93"/>
    <w:rsid w:val="00634D2E"/>
    <w:rsid w:val="006428E0"/>
    <w:rsid w:val="006525D9"/>
    <w:rsid w:val="0066368F"/>
    <w:rsid w:val="00666772"/>
    <w:rsid w:val="00671107"/>
    <w:rsid w:val="0067182D"/>
    <w:rsid w:val="0067585C"/>
    <w:rsid w:val="00680ECC"/>
    <w:rsid w:val="00694C0B"/>
    <w:rsid w:val="006A08F3"/>
    <w:rsid w:val="006A6DCF"/>
    <w:rsid w:val="006A73AD"/>
    <w:rsid w:val="006E132B"/>
    <w:rsid w:val="006E7461"/>
    <w:rsid w:val="006F0ABF"/>
    <w:rsid w:val="006F640D"/>
    <w:rsid w:val="0070188D"/>
    <w:rsid w:val="00710249"/>
    <w:rsid w:val="00714984"/>
    <w:rsid w:val="00717EDC"/>
    <w:rsid w:val="007311C0"/>
    <w:rsid w:val="00740BFC"/>
    <w:rsid w:val="00741623"/>
    <w:rsid w:val="00747ABF"/>
    <w:rsid w:val="007558CA"/>
    <w:rsid w:val="00787708"/>
    <w:rsid w:val="00794DF7"/>
    <w:rsid w:val="00796EA8"/>
    <w:rsid w:val="007A0E20"/>
    <w:rsid w:val="007C37F7"/>
    <w:rsid w:val="007C740A"/>
    <w:rsid w:val="007D3528"/>
    <w:rsid w:val="007D5D1C"/>
    <w:rsid w:val="007D651B"/>
    <w:rsid w:val="007D7302"/>
    <w:rsid w:val="007E7413"/>
    <w:rsid w:val="007F0E66"/>
    <w:rsid w:val="00804ABD"/>
    <w:rsid w:val="00811E95"/>
    <w:rsid w:val="0081704B"/>
    <w:rsid w:val="00825458"/>
    <w:rsid w:val="00826397"/>
    <w:rsid w:val="00832AAA"/>
    <w:rsid w:val="00853EBF"/>
    <w:rsid w:val="00875707"/>
    <w:rsid w:val="0087602B"/>
    <w:rsid w:val="0088371E"/>
    <w:rsid w:val="008A4E75"/>
    <w:rsid w:val="008B5313"/>
    <w:rsid w:val="008B5A01"/>
    <w:rsid w:val="008C1B57"/>
    <w:rsid w:val="008C3076"/>
    <w:rsid w:val="008C7C13"/>
    <w:rsid w:val="008D71B6"/>
    <w:rsid w:val="008E1E50"/>
    <w:rsid w:val="0090513F"/>
    <w:rsid w:val="00915E43"/>
    <w:rsid w:val="009235B9"/>
    <w:rsid w:val="00927400"/>
    <w:rsid w:val="00933E67"/>
    <w:rsid w:val="00952E22"/>
    <w:rsid w:val="0095501B"/>
    <w:rsid w:val="00962F8F"/>
    <w:rsid w:val="00995F4D"/>
    <w:rsid w:val="009C04EF"/>
    <w:rsid w:val="009E061B"/>
    <w:rsid w:val="009E4BEA"/>
    <w:rsid w:val="009F5513"/>
    <w:rsid w:val="00A01AA7"/>
    <w:rsid w:val="00A0654D"/>
    <w:rsid w:val="00A13580"/>
    <w:rsid w:val="00A1663B"/>
    <w:rsid w:val="00A5015A"/>
    <w:rsid w:val="00A555C9"/>
    <w:rsid w:val="00A562FC"/>
    <w:rsid w:val="00A67621"/>
    <w:rsid w:val="00A67B87"/>
    <w:rsid w:val="00A83840"/>
    <w:rsid w:val="00A85D3F"/>
    <w:rsid w:val="00A87857"/>
    <w:rsid w:val="00A960CB"/>
    <w:rsid w:val="00AA52F4"/>
    <w:rsid w:val="00AA61BF"/>
    <w:rsid w:val="00AD3CE8"/>
    <w:rsid w:val="00AD3D6C"/>
    <w:rsid w:val="00AD53F9"/>
    <w:rsid w:val="00AD5BF7"/>
    <w:rsid w:val="00AE18F0"/>
    <w:rsid w:val="00B0101D"/>
    <w:rsid w:val="00B13F82"/>
    <w:rsid w:val="00B16F2D"/>
    <w:rsid w:val="00B357D5"/>
    <w:rsid w:val="00B51D81"/>
    <w:rsid w:val="00B52323"/>
    <w:rsid w:val="00B65432"/>
    <w:rsid w:val="00B770D5"/>
    <w:rsid w:val="00B80A8B"/>
    <w:rsid w:val="00B828E4"/>
    <w:rsid w:val="00B96F81"/>
    <w:rsid w:val="00BA5193"/>
    <w:rsid w:val="00BB56BD"/>
    <w:rsid w:val="00BC3ECE"/>
    <w:rsid w:val="00BC6BB9"/>
    <w:rsid w:val="00BD2412"/>
    <w:rsid w:val="00BD2A32"/>
    <w:rsid w:val="00BF4481"/>
    <w:rsid w:val="00C05C2B"/>
    <w:rsid w:val="00C23B88"/>
    <w:rsid w:val="00C33C41"/>
    <w:rsid w:val="00C362AD"/>
    <w:rsid w:val="00C70A23"/>
    <w:rsid w:val="00C75E91"/>
    <w:rsid w:val="00C766CF"/>
    <w:rsid w:val="00C93A77"/>
    <w:rsid w:val="00CB0DB6"/>
    <w:rsid w:val="00CC56EA"/>
    <w:rsid w:val="00CD04B2"/>
    <w:rsid w:val="00CD0B61"/>
    <w:rsid w:val="00CD7299"/>
    <w:rsid w:val="00CF7AAD"/>
    <w:rsid w:val="00D00C62"/>
    <w:rsid w:val="00D15D58"/>
    <w:rsid w:val="00D47ECB"/>
    <w:rsid w:val="00D563C1"/>
    <w:rsid w:val="00D56CD3"/>
    <w:rsid w:val="00D809A9"/>
    <w:rsid w:val="00D95EB0"/>
    <w:rsid w:val="00D95EC4"/>
    <w:rsid w:val="00DB1A02"/>
    <w:rsid w:val="00DC7554"/>
    <w:rsid w:val="00DF7720"/>
    <w:rsid w:val="00DF7FD3"/>
    <w:rsid w:val="00E154BB"/>
    <w:rsid w:val="00E15D56"/>
    <w:rsid w:val="00E21F6A"/>
    <w:rsid w:val="00E30A7F"/>
    <w:rsid w:val="00E32A99"/>
    <w:rsid w:val="00E449E6"/>
    <w:rsid w:val="00E4551E"/>
    <w:rsid w:val="00E50D40"/>
    <w:rsid w:val="00E53FC9"/>
    <w:rsid w:val="00E55A3E"/>
    <w:rsid w:val="00E64A2A"/>
    <w:rsid w:val="00E70530"/>
    <w:rsid w:val="00E72461"/>
    <w:rsid w:val="00E75ECE"/>
    <w:rsid w:val="00E8054B"/>
    <w:rsid w:val="00E85948"/>
    <w:rsid w:val="00E935BB"/>
    <w:rsid w:val="00EA4DC0"/>
    <w:rsid w:val="00EB0648"/>
    <w:rsid w:val="00EB7597"/>
    <w:rsid w:val="00EC4CCE"/>
    <w:rsid w:val="00EE1310"/>
    <w:rsid w:val="00EE14F6"/>
    <w:rsid w:val="00EE5A7D"/>
    <w:rsid w:val="00EE7645"/>
    <w:rsid w:val="00F02BD0"/>
    <w:rsid w:val="00F02CE0"/>
    <w:rsid w:val="00F04FA0"/>
    <w:rsid w:val="00F232F2"/>
    <w:rsid w:val="00F31B05"/>
    <w:rsid w:val="00F36494"/>
    <w:rsid w:val="00F61A9E"/>
    <w:rsid w:val="00F73727"/>
    <w:rsid w:val="00F7627E"/>
    <w:rsid w:val="00F81427"/>
    <w:rsid w:val="00F851C5"/>
    <w:rsid w:val="00F874D4"/>
    <w:rsid w:val="00FC3179"/>
    <w:rsid w:val="00FD4A88"/>
    <w:rsid w:val="00FE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19911"/>
  <w15:chartTrackingRefBased/>
  <w15:docId w15:val="{8D6BA614-94D4-4C1A-A28F-64D07FE61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562FC"/>
  </w:style>
  <w:style w:type="paragraph" w:customStyle="1" w:styleId="title12">
    <w:name w:val="title12"/>
    <w:basedOn w:val="Normal"/>
    <w:rsid w:val="00260F5F"/>
    <w:pP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character" w:customStyle="1" w:styleId="newdocreference3">
    <w:name w:val="newdocreference3"/>
    <w:rsid w:val="00260F5F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rsid w:val="007E74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E74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EB064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rsid w:val="00EB064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B064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EB0648"/>
    <w:rPr>
      <w:sz w:val="24"/>
      <w:szCs w:val="24"/>
    </w:rPr>
  </w:style>
  <w:style w:type="table" w:styleId="TableGrid">
    <w:name w:val="Table Grid"/>
    <w:basedOn w:val="TableNormal"/>
    <w:rsid w:val="006E13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81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2952">
          <w:marLeft w:val="0"/>
          <w:marRight w:val="0"/>
          <w:marTop w:val="0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3590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1698">
          <w:marLeft w:val="0"/>
          <w:marRight w:val="0"/>
          <w:marTop w:val="57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0176"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7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7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0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8681">
          <w:marLeft w:val="0"/>
          <w:marRight w:val="0"/>
          <w:marTop w:val="0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1377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1031">
          <w:marLeft w:val="0"/>
          <w:marRight w:val="0"/>
          <w:marTop w:val="113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774">
          <w:marLeft w:val="0"/>
          <w:marRight w:val="0"/>
          <w:marTop w:val="113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1369">
          <w:marLeft w:val="0"/>
          <w:marRight w:val="0"/>
          <w:marTop w:val="0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3542">
          <w:marLeft w:val="0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3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1182">
          <w:marLeft w:val="0"/>
          <w:marRight w:val="0"/>
          <w:marTop w:val="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8719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565">
          <w:marLeft w:val="0"/>
          <w:marRight w:val="0"/>
          <w:marTop w:val="113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8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ПОСТАНОВЛЕНИЕ № 41 ОТ 22 ФЕВРУАРИ 2013 Г</vt:lpstr>
    </vt:vector>
  </TitlesOfParts>
  <Company>DAG</Company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№ 41 ОТ 22 ФЕВРУАРИ 2013 Г</dc:title>
  <dc:subject/>
  <dc:creator>Name</dc:creator>
  <cp:keywords/>
  <dc:description/>
  <cp:lastModifiedBy>Diana Fileva</cp:lastModifiedBy>
  <cp:revision>10</cp:revision>
  <cp:lastPrinted>2024-06-20T11:52:00Z</cp:lastPrinted>
  <dcterms:created xsi:type="dcterms:W3CDTF">2025-09-05T06:44:00Z</dcterms:created>
  <dcterms:modified xsi:type="dcterms:W3CDTF">2025-09-15T12:09:00Z</dcterms:modified>
</cp:coreProperties>
</file>