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3DA" w:rsidRPr="00E033DA" w:rsidRDefault="00E033DA" w:rsidP="00E033DA">
      <w:pPr>
        <w:widowControl w:val="0"/>
        <w:autoSpaceDE w:val="0"/>
        <w:autoSpaceDN w:val="0"/>
        <w:adjustRightInd w:val="0"/>
        <w:spacing w:after="0" w:line="240" w:lineRule="auto"/>
        <w:ind w:firstLine="709"/>
        <w:jc w:val="both"/>
        <w:rPr>
          <w:rFonts w:ascii="Times New Roman" w:eastAsia="Verdana" w:hAnsi="Times New Roman" w:cs="Times New Roman"/>
          <w:color w:val="000000"/>
          <w:sz w:val="24"/>
          <w:szCs w:val="24"/>
          <w:lang w:val="bg" w:eastAsia="bg-BG"/>
        </w:rPr>
      </w:pPr>
      <w:bookmarkStart w:id="0" w:name="_GoBack"/>
      <w:bookmarkEnd w:id="0"/>
    </w:p>
    <w:p w:rsidR="00E033DA" w:rsidRPr="00E033DA" w:rsidRDefault="00E033DA" w:rsidP="00E033DA">
      <w:pPr>
        <w:autoSpaceDE w:val="0"/>
        <w:autoSpaceDN w:val="0"/>
        <w:adjustRightInd w:val="0"/>
        <w:spacing w:after="0" w:line="240" w:lineRule="auto"/>
        <w:jc w:val="center"/>
        <w:rPr>
          <w:rFonts w:ascii="Times New Roman" w:eastAsia="Verdana" w:hAnsi="Times New Roman" w:cs="Times New Roman"/>
          <w:b/>
          <w:color w:val="000000"/>
          <w:sz w:val="24"/>
          <w:szCs w:val="24"/>
          <w:highlight w:val="white"/>
          <w:lang w:val="bg" w:eastAsia="bg-BG"/>
        </w:rPr>
      </w:pPr>
      <w:r w:rsidRPr="00E033DA">
        <w:rPr>
          <w:rFonts w:ascii="Times New Roman" w:eastAsia="Verdana" w:hAnsi="Times New Roman" w:cs="Times New Roman"/>
          <w:b/>
          <w:color w:val="000000"/>
          <w:sz w:val="24"/>
          <w:szCs w:val="24"/>
          <w:lang w:val="bg" w:eastAsia="bg-BG"/>
        </w:rPr>
        <w:t xml:space="preserve">Мотиви към Закона за изменение и допълнение на Закона за електронните съобщения </w:t>
      </w:r>
    </w:p>
    <w:p w:rsidR="00E033DA" w:rsidRPr="00E033DA" w:rsidRDefault="00E033DA" w:rsidP="00E033DA">
      <w:pPr>
        <w:tabs>
          <w:tab w:val="left" w:pos="709"/>
        </w:tabs>
        <w:autoSpaceDE w:val="0"/>
        <w:autoSpaceDN w:val="0"/>
        <w:adjustRightInd w:val="0"/>
        <w:spacing w:after="0" w:line="240" w:lineRule="auto"/>
        <w:jc w:val="both"/>
        <w:rPr>
          <w:rFonts w:ascii="Times New Roman" w:eastAsia="Verdana" w:hAnsi="Times New Roman" w:cs="Times New Roman"/>
          <w:sz w:val="24"/>
          <w:szCs w:val="24"/>
          <w:lang w:val="bg" w:eastAsia="bg-BG"/>
        </w:rPr>
      </w:pPr>
    </w:p>
    <w:p w:rsidR="00E033DA" w:rsidRPr="00E033DA" w:rsidRDefault="00E033DA" w:rsidP="00474EC6">
      <w:pPr>
        <w:tabs>
          <w:tab w:val="left" w:pos="709"/>
        </w:tabs>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Предложеният проект на Закон за изменение и допълнение на Закона за електронните съобщения (ЗИД на ЗЕС) има за цел да осигури прилагането на изискванията на Регламент 2022/2065 </w:t>
      </w:r>
      <w:r w:rsidRPr="00E033DA">
        <w:rPr>
          <w:rFonts w:ascii="Times New Roman" w:eastAsia="Verdana" w:hAnsi="Times New Roman" w:cs="Times New Roman"/>
          <w:color w:val="000000"/>
          <w:sz w:val="24"/>
          <w:szCs w:val="24"/>
          <w:lang w:val="bg" w:eastAsia="bg-BG"/>
        </w:rPr>
        <w:t>на Европейския парламент и на Съвета от 19 октомври 2022 година относно единния пазар на цифрови услуги и за изменение на Директива 2000/31/ЕО (Акт за цифровите услуги) (</w:t>
      </w:r>
      <w:r w:rsidRPr="00E033DA">
        <w:rPr>
          <w:rFonts w:ascii="Times New Roman" w:eastAsia="Verdana" w:hAnsi="Times New Roman" w:cs="Times New Roman"/>
          <w:color w:val="000000"/>
          <w:sz w:val="24"/>
          <w:szCs w:val="24"/>
          <w:highlight w:val="white"/>
          <w:lang w:val="bg" w:eastAsia="bg-BG"/>
        </w:rPr>
        <w:t>ОВ, L 277/41 от 27 октомври 2022 г.)</w:t>
      </w:r>
      <w:r w:rsidRPr="00E033DA">
        <w:rPr>
          <w:rFonts w:ascii="Times New Roman" w:eastAsia="Verdana" w:hAnsi="Times New Roman" w:cs="Times New Roman"/>
          <w:sz w:val="24"/>
          <w:szCs w:val="24"/>
          <w:lang w:val="bg" w:eastAsia="bg-BG"/>
        </w:rPr>
        <w:t>. С цел да хармонизира изцяло правилата, приложими за всички посреднически услуги на информационното общество, Регламент (ЕС) 2022/2065 въвежда редица мерки и задължения за доставчиците на тези услуги, пропорционални на размера, въздействието и рисковете, които техните услуги могат да създадат за гражданите и обществото.</w:t>
      </w:r>
    </w:p>
    <w:p w:rsidR="00E033DA" w:rsidRPr="00E033DA" w:rsidRDefault="00E033DA" w:rsidP="00474EC6">
      <w:pPr>
        <w:tabs>
          <w:tab w:val="left" w:pos="709"/>
        </w:tabs>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За проследяване изпълнението на тези задължения, както и за правилното функциониране на Единния цифров пазар, регламентът предвижда създаването на механизъм и структури на европейско и национално ниво, които да осигурят ефективен надзор, сътрудничество и правоприлагане. </w:t>
      </w:r>
    </w:p>
    <w:p w:rsidR="00E033DA" w:rsidRPr="00E033DA" w:rsidRDefault="00E033DA" w:rsidP="00474EC6">
      <w:pPr>
        <w:tabs>
          <w:tab w:val="left" w:pos="709"/>
        </w:tabs>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На европейско ниво ще бъде създаден Европейски съвет за цифровите услуги, а всяка държава членка на ЕС, съгласно изискванията на чл. 49 от регламента, следва да определи един национален орган, който да изпълнява функциите на национален Координатор за цифровите услуги и самостоятелно или подпомогнат от други компетентни органи, определени на национално равнище, ще отговаря за надзора на доставчиците на посреднически услуги и прилагането на регламента. Съгласно разпоредбите на Регламент (ЕС) 2022/2065, компетентните органи, определени на национално ниво, във връзка с неговото прилагане, разполагат с изключителни правомощия да упражняват надзор и да осигуряват спазването на регламента по отношение на доставчиците на посреднически услуги с място на установяване в България, с изключение на надзора на много големите онлайн платформи и много големите онлайн търсачки, който ще се осъществява от ЕК и по-отношение на който ще имат само подпомагащи функции. </w:t>
      </w:r>
    </w:p>
    <w:p w:rsid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В тази връзка има необходимост от изменение и допълнение на действащата нормативна уредба за регламентиране на функциите и правомощията на националите органи, тяхната компетентност за осъществяване на контрол над доставчиците на посреднически услуги за изпълнение на изискванията на Регламент (ЕС) 2020/2065, както и за въвеждане на механизми за налагане на определените в регламента санкции и глоби.</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С проекта на ЗИД на ЗЕС урежда статута и правомощията на Координатора за цифровите услуги (КЦУ/Координатора), а именно Комисията за регулиране на съобщенията (КРС/Комисията). КРС ще осъществява контрол върху дейността на доставчиците на посреднически услуги на информационното общество, които не представляват платформи за споделяне на видеоклипове, за изпълнение на задълженията им по Регламента. </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Съветът за електронни медии e компетентен орган по чл. 49 от Регламент (ЕС) 2022/2065 при предоставянето на посреднически услуги на информационното общество по смисъла на Регламента, които представляват платформи за споделяне на видеоклипове. </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Комисията за защита на личните данни също има правомощия във връзка с изпълнението на чл. 26 и чл. 28 от Регламента.</w:t>
      </w:r>
    </w:p>
    <w:p w:rsidR="008A414B" w:rsidRPr="008A414B" w:rsidRDefault="008A414B" w:rsidP="008A414B">
      <w:pPr>
        <w:autoSpaceDE w:val="0"/>
        <w:autoSpaceDN w:val="0"/>
        <w:adjustRightInd w:val="0"/>
        <w:spacing w:after="120" w:line="240" w:lineRule="auto"/>
        <w:ind w:firstLine="567"/>
        <w:jc w:val="both"/>
        <w:rPr>
          <w:rFonts w:ascii="Times New Roman" w:eastAsia="Verdana" w:hAnsi="Times New Roman" w:cs="Times New Roman"/>
          <w:sz w:val="24"/>
          <w:szCs w:val="24"/>
          <w:lang w:eastAsia="bg-BG"/>
        </w:rPr>
      </w:pPr>
      <w:r w:rsidRPr="008A414B">
        <w:rPr>
          <w:rFonts w:ascii="Times New Roman" w:eastAsia="Verdana" w:hAnsi="Times New Roman" w:cs="Times New Roman"/>
          <w:sz w:val="24"/>
          <w:szCs w:val="24"/>
          <w:lang w:eastAsia="bg-BG"/>
        </w:rPr>
        <w:lastRenderedPageBreak/>
        <w:t>В законопроекта са предвидени разпоредби за уреждане на сертифицирането на органи за извънсъдебно разрешаване на спорове между доставчици на онлайн платформи и получатели на услуги. Предвидени са текстове относно процедурата за сертифициране, както и правомощие на КРС за започване на разследване по изпълнението му и съответствие на органа, съгласно изискванията на Регламент 2022/2065, както и отнемане на сертификата, в случай че органът за извънсъдебно разрешаване на спорове не е преустановил установеното неизпълнение и/или не е отстранил неговите последици, и/или не е привел дейността в съответствие с Регламент (ЕС) 2022/2065.</w:t>
      </w:r>
    </w:p>
    <w:p w:rsidR="008A414B" w:rsidRPr="008A414B" w:rsidRDefault="008A414B" w:rsidP="008A414B">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8A414B">
        <w:rPr>
          <w:rFonts w:ascii="Times New Roman" w:eastAsia="Verdana" w:hAnsi="Times New Roman" w:cs="Times New Roman"/>
          <w:sz w:val="24"/>
          <w:szCs w:val="24"/>
          <w:lang w:eastAsia="bg-BG"/>
        </w:rPr>
        <w:t xml:space="preserve">Създадени са процедури за предоставяне на статут на доверен подател на сигнали и одобрен изследовател по смисъла на Регламента, както и процедури за предприемане на действия във връзка с получени жалби и сигнали срещу доставчици на посреднически услуги. В чл. чл. 310г, 310д, 310е, 310ж и чл. 310з от Проекта са разписани процедурите за придобиване, изпълнение и отнемане на посочения статут. </w:t>
      </w:r>
      <w:r w:rsidRPr="008A414B">
        <w:rPr>
          <w:rFonts w:ascii="Times New Roman" w:eastAsia="Verdana" w:hAnsi="Times New Roman" w:cs="Times New Roman"/>
          <w:sz w:val="24"/>
          <w:szCs w:val="24"/>
          <w:lang w:val="bg" w:eastAsia="bg-BG"/>
        </w:rPr>
        <w:t xml:space="preserve">Статутът се предоставя на одобрен изследовател по смисъла на чл. 40, параграф 8 от Регламент (ЕС) 2022/2065 за конкретно изследване, във връзка с което се иска достъп до данни на доставчик на много голяма онлайн платформа или много голяма онлайн търсачка, установен в Република България. Лице или правно образувание, което кандидатства за статут на одобрен изследовател, подава заявление като прилага доказателства, че отговаря на изискванията, или посочва данните и документите, които се съдържат в публичен регистър или друг регистър, до който може да бъде осигурен достъп. </w:t>
      </w:r>
    </w:p>
    <w:p w:rsidR="008A414B" w:rsidRDefault="008A414B" w:rsidP="008A414B">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8A414B">
        <w:rPr>
          <w:rFonts w:ascii="Times New Roman" w:eastAsia="Verdana" w:hAnsi="Times New Roman" w:cs="Times New Roman"/>
          <w:sz w:val="24"/>
          <w:szCs w:val="24"/>
          <w:lang w:eastAsia="bg-BG"/>
        </w:rPr>
        <w:t xml:space="preserve">Също така е предвидено правомощие на КРС да започне разследване за съответствие на доверения подател на сигнали/одобрения изследовател с изискванията на Регламента. </w:t>
      </w:r>
      <w:r w:rsidRPr="008A414B">
        <w:rPr>
          <w:rFonts w:ascii="Times New Roman" w:eastAsia="Verdana" w:hAnsi="Times New Roman" w:cs="Times New Roman"/>
          <w:sz w:val="24"/>
          <w:szCs w:val="24"/>
          <w:lang w:val="bg" w:eastAsia="bg-BG"/>
        </w:rPr>
        <w:t xml:space="preserve">В случай че се установи, че лице или правно образувание, получило статут на одобрен изследовател е престанало да отговаря на изискванията, с решение се уведомява лицето или правното образувание за установеното несъответствие и за намерението да се прекрати достъпа до данни на одобрения изследовател, и определя срок от 7 дни за изразяване на становище. След изтичането на срока за становище, Комисията определя срок до един месец за привеждане дейността на одобрения изследовател в съответствие с изискванията на чл. 40, параграф 8 от Регламент (ЕС) 2022/2065. </w:t>
      </w:r>
    </w:p>
    <w:p w:rsidR="00E033DA" w:rsidRPr="00E033DA" w:rsidRDefault="00E033DA" w:rsidP="008A414B">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ЗИД на ЗЕС урежда статута и правомощията на компетентните органи по съответните дейности по прилагането на Регламент 2022/2065 и процедури по издаване, и прилагане на посочените в Регламента актове. Предвидено е задължение за съдебните и административните органи, които издават актове по смисъла на Регламента, да изпращат техни копия на Комисията, която изпълнявайки функциите на КЦУ, да ги изпраща на останалите КЦУ на територията на ЕС. </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ЗИД на ЗЕС урежда сертифицирането на органи за извънсъдебно разрешаване на спорове между получатели на услугата и доставчици на онлайн платформи по смисъла на Регламента. Предвидени са текстове относно процедурата за сертифициране, както и правомощие на КЦУ за започване на разследване по изпълнението му и съответствие на органа, съгласно изискванията на Регламент 2022/2065, както и отнемане на сертификата в определени хипотези.</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Уредени са разпоредби във връзка със статута на доверени податели на сигнали по смисъла на Регламента. Разписани са ясно и точно определени текстове по придобиване, изпълнение и отнемане на посочения статут. Също така е предвидено правомощие на КРС да започне разследване за съответствие на доверения подател на сигнали с изискванията на Регламента. Като последица от разследването, статутът може да бъде </w:t>
      </w:r>
      <w:r w:rsidRPr="00E033DA">
        <w:rPr>
          <w:rFonts w:ascii="Times New Roman" w:eastAsia="Verdana" w:hAnsi="Times New Roman" w:cs="Times New Roman"/>
          <w:sz w:val="24"/>
          <w:szCs w:val="24"/>
          <w:lang w:val="bg" w:eastAsia="bg-BG"/>
        </w:rPr>
        <w:lastRenderedPageBreak/>
        <w:t xml:space="preserve">временно преустановен, окончателно отнет или производството да бъде прекратено и статутът да бъде възстановен в определени случаи. </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ЗИД на ЗЕС урежда правомощие на КРС, като КЦУ, да предоставя статут на одобрен изследовател за конкретно изследване по смисъла на Регламента. Посоченият статут се придобива след извършена първоначална оценка от КРС за съответствието на даденото лице или образувание с изискванията на Регламента. Предвидено е правомощие на Комисията за започване на разследване за съответствие на одобрен изследовател за конкретно изследване с посочените изисквания. Като последица от разследването, статутът може да бъде окончателно отнет и предоставеният достъп да бъде прекратен или производството да бъде прекратено и статутът да бъде възстановен в съответните хипотези. </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b/>
          <w:sz w:val="24"/>
          <w:szCs w:val="24"/>
          <w:lang w:val="bg" w:eastAsia="bg-BG"/>
        </w:rPr>
      </w:pPr>
      <w:r w:rsidRPr="00E033DA">
        <w:rPr>
          <w:rFonts w:ascii="Times New Roman" w:eastAsia="Verdana" w:hAnsi="Times New Roman" w:cs="Times New Roman"/>
          <w:sz w:val="24"/>
          <w:szCs w:val="24"/>
          <w:lang w:val="bg" w:eastAsia="bg-BG"/>
        </w:rPr>
        <w:t>В настоящия ЗИД на ЗЕС е предвидено задължение на КРС да изготвя и приема годишен доклад за дейността по Регламент 2022/2065, като същият се публикува на интернет страницата на Комисията и се изпраща на Европейската комисия и Европейския съвет за цифровите услуги. Също така е предвидено правомощие на всеки две години КРС да изготвя доклад за дейността на сертифицираните от нея органи за извънсъдебно разрешаване на спорове по смисъла на Регламента, който се публикува на интернет страницата на Комисията.</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Допълнението на чл. 154 от ЗЕС е необходимо с оглед разширяване на правомощията на КРС по ЗЕС, във връзка с регулирането на електронни съобщителни услуги при отчитане на връзката им с посредническите услуги и другите онлайн услуги.</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color w:val="000000"/>
          <w:sz w:val="24"/>
          <w:szCs w:val="24"/>
          <w:lang w:val="bg" w:eastAsia="bg-BG"/>
        </w:rPr>
      </w:pPr>
      <w:r w:rsidRPr="00E033DA">
        <w:rPr>
          <w:rFonts w:ascii="Times New Roman" w:eastAsia="Verdana" w:hAnsi="Times New Roman" w:cs="Times New Roman"/>
          <w:color w:val="000000"/>
          <w:sz w:val="24"/>
          <w:szCs w:val="24"/>
          <w:lang w:val="bg" w:eastAsia="bg-BG"/>
        </w:rPr>
        <w:t xml:space="preserve">Съгласно ЗЕС, КРС може да събира информация единствено от доставчиците на услугата достъп до интернет (IAS). Същевременно, за различни проучвания на </w:t>
      </w:r>
      <w:r w:rsidRPr="00E033DA">
        <w:rPr>
          <w:rFonts w:ascii="Times New Roman" w:eastAsia="Verdana" w:hAnsi="Times New Roman" w:cs="Times New Roman"/>
          <w:sz w:val="24"/>
          <w:szCs w:val="24"/>
          <w:lang w:val="bg" w:eastAsia="bg-BG"/>
        </w:rPr>
        <w:t>Органа на европейските регулатори в областта на електронните съобщения</w:t>
      </w:r>
      <w:r w:rsidRPr="00E033DA">
        <w:rPr>
          <w:rFonts w:ascii="Times New Roman" w:eastAsia="Verdana" w:hAnsi="Times New Roman" w:cs="Times New Roman"/>
          <w:color w:val="000000"/>
          <w:sz w:val="24"/>
          <w:szCs w:val="24"/>
          <w:lang w:val="bg" w:eastAsia="bg-BG"/>
        </w:rPr>
        <w:t xml:space="preserve"> (BEREC)</w:t>
      </w:r>
      <w:r w:rsidRPr="00E033DA">
        <w:rPr>
          <w:rFonts w:ascii="Times New Roman" w:eastAsia="Verdana" w:hAnsi="Times New Roman" w:cs="Times New Roman"/>
          <w:color w:val="000000"/>
          <w:sz w:val="24"/>
          <w:szCs w:val="24"/>
          <w:vertAlign w:val="superscript"/>
          <w:lang w:val="bg" w:eastAsia="bg-BG"/>
        </w:rPr>
        <w:footnoteReference w:id="1"/>
      </w:r>
      <w:r w:rsidRPr="00E033DA">
        <w:rPr>
          <w:rFonts w:ascii="Times New Roman" w:eastAsia="Verdana" w:hAnsi="Times New Roman" w:cs="Times New Roman"/>
          <w:color w:val="000000"/>
          <w:sz w:val="24"/>
          <w:szCs w:val="24"/>
          <w:vertAlign w:val="superscript"/>
          <w:lang w:val="bg" w:eastAsia="bg-BG"/>
        </w:rPr>
        <w:t>[1]</w:t>
      </w:r>
      <w:r w:rsidRPr="00E033DA">
        <w:rPr>
          <w:rFonts w:ascii="Times New Roman" w:eastAsia="Verdana" w:hAnsi="Times New Roman" w:cs="Times New Roman"/>
          <w:color w:val="000000"/>
          <w:sz w:val="24"/>
          <w:szCs w:val="24"/>
          <w:lang w:val="bg" w:eastAsia="bg-BG"/>
        </w:rPr>
        <w:t xml:space="preserve"> се налага КРС да събира информация, свързана с останалите участници осигуряващи работата и услугите в световната интернет мрежа, които са регистри на имена на домейни от първо ниво, точка за обмен в интернет, доставчици на DNS услуги, на компютърни услуги „в облак“, на мрежи за доставяне на съдържание, на хостинг услуги.</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color w:val="000000"/>
          <w:sz w:val="24"/>
          <w:szCs w:val="24"/>
          <w:lang w:val="bg" w:eastAsia="bg-BG"/>
        </w:rPr>
      </w:pPr>
      <w:r w:rsidRPr="00E033DA">
        <w:rPr>
          <w:rFonts w:ascii="Times New Roman" w:eastAsia="Verdana" w:hAnsi="Times New Roman" w:cs="Times New Roman"/>
          <w:color w:val="000000"/>
          <w:sz w:val="24"/>
          <w:szCs w:val="24"/>
          <w:lang w:val="bg" w:eastAsia="bg-BG"/>
        </w:rPr>
        <w:t>Доколкото всички участници, изброени по-горе са в една екосистема, в програмата на BEREC са предвидени проучвания върху различни услуги и свързаните с тях платформи. Примери за подобни проучвания, стартирали през 2023 г., са описани в проекта на програма на BEREC за 2024 г.</w:t>
      </w:r>
      <w:r w:rsidRPr="00E033DA">
        <w:rPr>
          <w:rFonts w:ascii="Times New Roman" w:eastAsia="Verdana" w:hAnsi="Times New Roman" w:cs="Times New Roman"/>
          <w:color w:val="000000"/>
          <w:sz w:val="24"/>
          <w:szCs w:val="24"/>
          <w:vertAlign w:val="superscript"/>
          <w:lang w:val="bg" w:eastAsia="bg-BG"/>
        </w:rPr>
        <w:footnoteReference w:id="2"/>
      </w:r>
      <w:r w:rsidRPr="00E033DA">
        <w:rPr>
          <w:rFonts w:ascii="Times New Roman" w:eastAsia="Verdana" w:hAnsi="Times New Roman" w:cs="Times New Roman"/>
          <w:color w:val="000000"/>
          <w:sz w:val="24"/>
          <w:szCs w:val="24"/>
          <w:vertAlign w:val="superscript"/>
          <w:lang w:val="bg" w:eastAsia="bg-BG"/>
        </w:rPr>
        <w:t>[2]</w:t>
      </w:r>
      <w:r w:rsidRPr="00E033DA">
        <w:rPr>
          <w:rFonts w:ascii="Times New Roman" w:eastAsia="Verdana" w:hAnsi="Times New Roman" w:cs="Times New Roman"/>
          <w:color w:val="000000"/>
          <w:sz w:val="24"/>
          <w:szCs w:val="24"/>
          <w:lang w:val="bg" w:eastAsia="bg-BG"/>
        </w:rPr>
        <w:t>:</w:t>
      </w:r>
    </w:p>
    <w:p w:rsidR="00E033DA" w:rsidRPr="00E033DA" w:rsidRDefault="00E033DA" w:rsidP="00474EC6">
      <w:pPr>
        <w:widowControl w:val="0"/>
        <w:numPr>
          <w:ilvl w:val="0"/>
          <w:numId w:val="3"/>
        </w:numPr>
        <w:tabs>
          <w:tab w:val="left" w:pos="1134"/>
        </w:tabs>
        <w:autoSpaceDE w:val="0"/>
        <w:autoSpaceDN w:val="0"/>
        <w:adjustRightInd w:val="0"/>
        <w:spacing w:after="120" w:line="240" w:lineRule="auto"/>
        <w:ind w:left="0" w:firstLine="567"/>
        <w:jc w:val="both"/>
        <w:rPr>
          <w:rFonts w:ascii="Times New Roman" w:eastAsia="Verdana" w:hAnsi="Times New Roman" w:cs="Times New Roman"/>
          <w:color w:val="000000"/>
          <w:sz w:val="24"/>
          <w:szCs w:val="24"/>
          <w:lang w:val="bg" w:eastAsia="bg-BG"/>
        </w:rPr>
      </w:pPr>
      <w:r w:rsidRPr="00E033DA">
        <w:rPr>
          <w:rFonts w:ascii="Times New Roman" w:eastAsia="Verdana" w:hAnsi="Times New Roman" w:cs="Times New Roman"/>
          <w:color w:val="000000"/>
          <w:sz w:val="24"/>
          <w:szCs w:val="24"/>
          <w:lang w:val="bg" w:eastAsia="bg-BG"/>
        </w:rPr>
        <w:t>Доклад за услуги в „облака“ (BEREC Report on cloud services and edge computing, стр.13)</w:t>
      </w:r>
      <w:r w:rsidR="00C62D14">
        <w:rPr>
          <w:rFonts w:ascii="Times New Roman" w:eastAsia="Verdana" w:hAnsi="Times New Roman" w:cs="Times New Roman"/>
          <w:color w:val="000000"/>
          <w:sz w:val="24"/>
          <w:szCs w:val="24"/>
          <w:lang w:val="bg" w:eastAsia="bg-BG"/>
        </w:rPr>
        <w:t>;</w:t>
      </w:r>
    </w:p>
    <w:p w:rsidR="00E033DA" w:rsidRPr="00E033DA" w:rsidRDefault="00E033DA" w:rsidP="00474EC6">
      <w:pPr>
        <w:widowControl w:val="0"/>
        <w:numPr>
          <w:ilvl w:val="0"/>
          <w:numId w:val="3"/>
        </w:numPr>
        <w:tabs>
          <w:tab w:val="left" w:pos="1134"/>
        </w:tabs>
        <w:autoSpaceDE w:val="0"/>
        <w:autoSpaceDN w:val="0"/>
        <w:adjustRightInd w:val="0"/>
        <w:spacing w:after="120" w:line="240" w:lineRule="auto"/>
        <w:ind w:left="0" w:firstLine="567"/>
        <w:jc w:val="both"/>
        <w:rPr>
          <w:rFonts w:ascii="Times New Roman" w:eastAsia="Verdana" w:hAnsi="Times New Roman" w:cs="Times New Roman"/>
          <w:color w:val="000000"/>
          <w:sz w:val="24"/>
          <w:szCs w:val="24"/>
          <w:lang w:val="bg" w:eastAsia="bg-BG"/>
        </w:rPr>
      </w:pPr>
      <w:r w:rsidRPr="00E033DA">
        <w:rPr>
          <w:rFonts w:ascii="Times New Roman" w:eastAsia="Verdana" w:hAnsi="Times New Roman" w:cs="Times New Roman"/>
          <w:color w:val="000000"/>
          <w:sz w:val="24"/>
          <w:szCs w:val="24"/>
          <w:lang w:val="bg" w:eastAsia="bg-BG"/>
        </w:rPr>
        <w:t>Доклад за навлизането на големи доставчици на съдържание и приложения в пазари за електронни съобщителни мрежи и услуги (BEREC Report on the entry of large content and application providers into the markets for electronic communications networks and services, стр.13)</w:t>
      </w:r>
      <w:r w:rsidR="00C62D14">
        <w:rPr>
          <w:rFonts w:ascii="Times New Roman" w:eastAsia="Verdana" w:hAnsi="Times New Roman" w:cs="Times New Roman"/>
          <w:color w:val="000000"/>
          <w:sz w:val="24"/>
          <w:szCs w:val="24"/>
          <w:lang w:val="bg" w:eastAsia="bg-BG"/>
        </w:rPr>
        <w:t>;</w:t>
      </w:r>
    </w:p>
    <w:p w:rsidR="00E033DA" w:rsidRPr="00E033DA" w:rsidRDefault="00E033DA" w:rsidP="00474EC6">
      <w:pPr>
        <w:widowControl w:val="0"/>
        <w:numPr>
          <w:ilvl w:val="0"/>
          <w:numId w:val="3"/>
        </w:numPr>
        <w:tabs>
          <w:tab w:val="left" w:pos="1134"/>
        </w:tabs>
        <w:autoSpaceDE w:val="0"/>
        <w:autoSpaceDN w:val="0"/>
        <w:adjustRightInd w:val="0"/>
        <w:spacing w:after="120" w:line="240" w:lineRule="auto"/>
        <w:ind w:left="0" w:firstLine="567"/>
        <w:jc w:val="both"/>
        <w:rPr>
          <w:rFonts w:ascii="Times New Roman" w:eastAsia="Verdana" w:hAnsi="Times New Roman" w:cs="Times New Roman"/>
          <w:color w:val="000000"/>
          <w:sz w:val="24"/>
          <w:szCs w:val="24"/>
          <w:lang w:val="bg" w:eastAsia="bg-BG"/>
        </w:rPr>
      </w:pPr>
      <w:r w:rsidRPr="00E033DA">
        <w:rPr>
          <w:rFonts w:ascii="Times New Roman" w:eastAsia="Verdana" w:hAnsi="Times New Roman" w:cs="Times New Roman"/>
          <w:color w:val="000000"/>
          <w:sz w:val="24"/>
          <w:szCs w:val="24"/>
          <w:lang w:val="bg" w:eastAsia="bg-BG"/>
        </w:rPr>
        <w:t>Доклад на BEREC за възможностите на крайните потребители чрез прозрачност върху дигиталните продукти и услуги (BEREC report on empowering end-users through environmental transparency on digital products and services, стр.14)</w:t>
      </w:r>
      <w:r w:rsidR="00C62D14">
        <w:rPr>
          <w:rFonts w:ascii="Times New Roman" w:eastAsia="Verdana" w:hAnsi="Times New Roman" w:cs="Times New Roman"/>
          <w:color w:val="000000"/>
          <w:sz w:val="24"/>
          <w:szCs w:val="24"/>
          <w:lang w:val="bg" w:eastAsia="bg-BG"/>
        </w:rPr>
        <w:t>;</w:t>
      </w:r>
    </w:p>
    <w:p w:rsidR="00E033DA" w:rsidRPr="00E033DA" w:rsidRDefault="00E033DA" w:rsidP="00474EC6">
      <w:pPr>
        <w:widowControl w:val="0"/>
        <w:numPr>
          <w:ilvl w:val="0"/>
          <w:numId w:val="3"/>
        </w:numPr>
        <w:tabs>
          <w:tab w:val="left" w:pos="1134"/>
        </w:tabs>
        <w:autoSpaceDE w:val="0"/>
        <w:autoSpaceDN w:val="0"/>
        <w:adjustRightInd w:val="0"/>
        <w:spacing w:after="120" w:line="240" w:lineRule="auto"/>
        <w:ind w:left="0" w:firstLine="567"/>
        <w:jc w:val="both"/>
        <w:rPr>
          <w:rFonts w:ascii="Times New Roman" w:eastAsia="Verdana" w:hAnsi="Times New Roman" w:cs="Times New Roman"/>
          <w:color w:val="000000"/>
          <w:sz w:val="24"/>
          <w:szCs w:val="24"/>
          <w:lang w:val="bg" w:eastAsia="bg-BG"/>
        </w:rPr>
      </w:pPr>
      <w:r w:rsidRPr="00E033DA">
        <w:rPr>
          <w:rFonts w:ascii="Times New Roman" w:eastAsia="Verdana" w:hAnsi="Times New Roman" w:cs="Times New Roman"/>
          <w:color w:val="000000"/>
          <w:sz w:val="24"/>
          <w:szCs w:val="24"/>
          <w:lang w:val="bg" w:eastAsia="bg-BG"/>
        </w:rPr>
        <w:lastRenderedPageBreak/>
        <w:t>Доклад на BEREC относно екосистемата за IP взаимно свързване BEREC (Report on the IP Interconnection ecosystem, стр.15)</w:t>
      </w:r>
      <w:r w:rsidR="00C62D14">
        <w:rPr>
          <w:rFonts w:ascii="Times New Roman" w:eastAsia="Verdana" w:hAnsi="Times New Roman" w:cs="Times New Roman"/>
          <w:color w:val="000000"/>
          <w:sz w:val="24"/>
          <w:szCs w:val="24"/>
          <w:lang w:val="bg" w:eastAsia="bg-BG"/>
        </w:rPr>
        <w:t>.</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color w:val="000000"/>
          <w:sz w:val="24"/>
          <w:szCs w:val="24"/>
          <w:lang w:val="bg" w:eastAsia="bg-BG"/>
        </w:rPr>
      </w:pPr>
      <w:r w:rsidRPr="00E033DA">
        <w:rPr>
          <w:rFonts w:ascii="Times New Roman" w:eastAsia="Verdana" w:hAnsi="Times New Roman" w:cs="Times New Roman"/>
          <w:color w:val="000000"/>
          <w:sz w:val="24"/>
          <w:szCs w:val="24"/>
          <w:lang w:val="bg" w:eastAsia="bg-BG"/>
        </w:rPr>
        <w:t xml:space="preserve">При предварителните въпросници от BEREC (по т. 1 и 2), експерти, участващи в съответните работни групи, изпращат отговор, че на този етап нямат правомощия да събират информация от доставчици на компютърни услуги „в облак“ и на мрежи за доставяне на съдържание. В тази връзка, доколкото КРС ще бъде определена като „национален Координатор за цифровите услуги“, съгласно Акт за цифровите услуги и за да изпълнява пълноценно регулаторните си функции и тези свързани с BEREC, е необходимо да се разширят правомощията на КРС за събиране на информация по чл. 154 на ЗЕС. </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Съгласно съображение 57 от Европейския кодекс за електронни съобщения, националните регулаторни органи, други компетентни органи и </w:t>
      </w:r>
      <w:r w:rsidRPr="00E033DA">
        <w:rPr>
          <w:rFonts w:ascii="Times New Roman" w:eastAsia="Verdana" w:hAnsi="Times New Roman" w:cs="Times New Roman"/>
          <w:color w:val="000000"/>
          <w:sz w:val="24"/>
          <w:szCs w:val="24"/>
          <w:lang w:val="bg" w:eastAsia="bg-BG"/>
        </w:rPr>
        <w:t xml:space="preserve">BEREC </w:t>
      </w:r>
      <w:r w:rsidRPr="00E033DA">
        <w:rPr>
          <w:rFonts w:ascii="Times New Roman" w:eastAsia="Verdana" w:hAnsi="Times New Roman" w:cs="Times New Roman"/>
          <w:sz w:val="24"/>
          <w:szCs w:val="24"/>
          <w:lang w:val="bg" w:eastAsia="bg-BG"/>
        </w:rPr>
        <w:t>трябва да събират информация от участниците на пазара, за да изпълняват ефективно своите задачи, включително оценка на съответствието на общите условия с настоящата директива без отлагане на приложимостта на тези условия по време на оценката. По изключение, може също да е необходимо да се събере информация от други предприятия, които осъществяват дейност в тясно свързани с електронните съобщителни услуги сектори, например доставчиците на съдържание, които притежават информация, която може да им бъде необходима, за да изпълняват задачите си съгласно правото на Съюза. Може също така да е необходимо да се събира такава информация от името на Комисията, за да ѝ позволи да изпълнява съответните си задължения според законодателството на Съюза. Исканията за информация следва да бъдат пропорционални и да не налагат прекомерна тежест върху предприятията. Информацията, събирана от националните регулаторни и други компетентни органи, следва да бъде достъпна за обществото с изключение на случаите, когато е поверителна в съответствие с националните правила за обществен достъп до информация, и при условията на правилата на Съюза, и националните правила относно търговската тайна. В съответствие с цитираното съображение, допълнението на действащия чл. 154 предвижда правомощие КРС да изисква информация за изпълнение на задълженията си по ал. 3, т. 2 от същата разпоредба, Комисията може да изисква информация от доставчици на онлайн съдържание, представяно в интернет (т.нар. over-the-top доставчици).</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В проекта на ЗИД на ЗЕС се създава нов раздел, който урежда контрола на компетентните органи, спрямо лицата, имащи задължения по Регламента. Регламентирани са редът и основанията за извършване на проверка, способите и средствата за събиране на доказателства. Предложени са разпоредби за спиране и прекратяване на производството, включително приложимият давностен срок.</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В процедурата е заложена възможността контролните органи да изискват информация, документи, различни данни, необходими за разкриване на обективната истина. Създава се процедура по извършване на проверки на място, след изрично получаване на разрешение от съда. </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Предвидената процедура по контрол предоставя право на защита на проверяваните лица, като средство в тази насока е осъществяването на преценка от страна на съда за наличие на предпоставки за извършване на проверката. В процедурата има възможност за касационен контрол на акта на първоинстанционния съд, като определението на съда може да се обжалва пред Върховен административен съд. </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В допълнение към горното, във всеки един момент в хода на проверката, проверяваното лице има право на достъп до всички доказателства по преписката, с </w:t>
      </w:r>
      <w:r w:rsidRPr="00E033DA">
        <w:rPr>
          <w:rFonts w:ascii="Times New Roman" w:eastAsia="Verdana" w:hAnsi="Times New Roman" w:cs="Times New Roman"/>
          <w:sz w:val="24"/>
          <w:szCs w:val="24"/>
          <w:lang w:val="bg" w:eastAsia="bg-BG"/>
        </w:rPr>
        <w:lastRenderedPageBreak/>
        <w:t xml:space="preserve">изключение на тези, представляващи производствена, търговска или друга защитена от закона тайна. </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В случай че в образуваното производство за установяване на нарушение на Регламент (ЕС) 2022/2065 има достатъчно данни за наличие на нарушение, в неотложни случаи, поради риск от сериозни и непоправими вреди, съответният орган може да наложи незабавно мерките по чл. 51, параграф 2, буква „б“ и/или буква „д“ от Регламент (ЕС) 2022/2065. В този случай отново е предвидена процедура за обжалване на решението, което съответства на правото на защита на проверяваното лице.</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Съобразно изискванията на Регламента е предвидена възможност, при която доставчикът на посреднически услуги може да предложи да поеме ангажименти съгласно чл. 51, пар. 2, ал. 1, буква. „а“ от Регламента, като по преценка на компетентния орган и при наличие на предпоставките за това, може да бъде прекратено и образуваното производство, без да установява наличие на нарушение, като се постанови, че вече не съществуват основания за продължаване на производството. С решението съответният орган може да определи и срок на действие на поетите задължения. Тази процедура е предвидена да се развие публично, чрез публикуване на съобщение на таблото за обявления и на интернет страницата на компетентния орган, в което се съдържа обобщение на предмета на производството и на предложените задължения. В съобщението се посочва срок, не по-дълъг от 30 дни от публикацията, в който заинтересованите лица могат да представят информация и становище във връзка с предложените задължения.</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В проекта е уредено правомощие на координатора на цифрови услуги да реализира извънредните мерки за отстраняване на нарушението, предвидени в чл. 51, параграф 3 от Регламента. В случаите по чл. 51, параграф 3, буква „б“ от Регламента е предвидена и санкцията на съответния съд за временно ограничаване на достъпа до цифровата услуга.</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Проектът предвижда определени решения на компетентния орган да се ползват от ex lege предварително изпълнение. Съгласно регламента, държавите членки следва да предоставят на координатора за цифровите услуги и на всеки друг компетентен орган достатъчно правомощия и средства, за да се гарантира ефективно разследване и осигуряване на спазването, в съответствие с възложените им задачи.   Предварителното изпълнение гарантира бързото и ефективно привеждане на съответната дейност с изискванията на Регламента и отстраняване на вредните последици от евентуалното нарушение. Ще се осигури и своевременна защита на засегнатите от нарушението лица, които в определени случаи могат да бъдат много широк кръг. Ще се ограничи и възможността лица, които не отговарят на изискванията на чл. 21, чл. 22 и чл. 40 от Регламента, да достъпват данни и документи, без да притежават съответния статут. </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Предвижда се създаване на специална процедура, различна от тази по Закона за административните нарушения и наказания (ЗАНН), по която да бъдат установявани нарушенията на Регламента. Съгласно чл. 1 от ЗАНН, законът се явява общ по отношение на реда за установяване на административни нарушения и налагане на наказания, тоест допустимо е да бъдат въвеждани специални правила в съответния специален закон, които да се отклоняват пълно или частично от общото производство по ЗАНН. Същият извод се налага и относно реда за налагане на имуществени санкции (аргумент от чл. 83, ал. 2 от ЗАНН).</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В конкретния случай е отчетено, че процедурата по ЗАНН няма да е ефективна. С предложения нов ред за установяване на нарушения се цели оптимизиране на процедурата по налагане на административната глоба/имуществената санкция, с което ще се постигнат целите по съображения 114 и 117 от Преамбюла към Регламента, по-</w:t>
      </w:r>
      <w:r w:rsidRPr="00E033DA">
        <w:rPr>
          <w:rFonts w:ascii="Times New Roman" w:eastAsia="Verdana" w:hAnsi="Times New Roman" w:cs="Times New Roman"/>
          <w:sz w:val="24"/>
          <w:szCs w:val="24"/>
          <w:lang w:val="bg" w:eastAsia="bg-BG"/>
        </w:rPr>
        <w:lastRenderedPageBreak/>
        <w:t>специално - държавите членки следва да гарантират, че нарушенията на задълженията по настоящия регламент могат да бъдат санкционирани по начин, който е ефективен, пропорционален и възпиращ. В тази връзка, установяването на нарушенията и налагането на наказанията ще се осъществява в една административна процедура, с издаването на един документ – решение на КРС за установяване на нарушението и налагане на наказанието.</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Цели се и своевременност при осъществяването на отговорността за нарушения на Регламента, чрез създаването на процес по установяване на извършените нарушения, който е по-бърз и по-ефективен.</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Чрез предложения специален ред ще се редуцират възможностите за избягване на отговорността по Регламента, като същевременно се запазват гаранциите за правото на защита чрез обжалване на решението по реда на Административнопроцесуалния кодекс. </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Подобен подход не е непознат на българското законодателство. Аналогична уредба действа и към момента в Закон за защита на конкуренцията, в Закона за енергетиката, в Кодекса на труда, в Указ № 904 от 28.12.1963 г. за борба с дребното хулиганство и др.)</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Проектът е съобразен и с изискването на чл. 52 от Регламента, който задължава държавите членки да установят система от санкции, които трябва да бъдат ефективни, пропорционални и възпиращи. Предложените в проекта размери на еднократните и периодичните санкции са в съответствие със задължителните критерии и размери, установени в посочената разпоредба. </w:t>
      </w:r>
    </w:p>
    <w:p w:rsidR="00F72157" w:rsidRDefault="00E033DA" w:rsidP="00F72157">
      <w:pPr>
        <w:pBdr>
          <w:top w:val="nil"/>
          <w:left w:val="nil"/>
          <w:bottom w:val="nil"/>
          <w:right w:val="nil"/>
          <w:between w:val="nil"/>
        </w:pBdr>
        <w:shd w:val="clear" w:color="auto" w:fill="FFFFFF"/>
        <w:autoSpaceDE w:val="0"/>
        <w:autoSpaceDN w:val="0"/>
        <w:adjustRightInd w:val="0"/>
        <w:spacing w:after="120" w:line="240" w:lineRule="auto"/>
        <w:ind w:firstLine="567"/>
        <w:jc w:val="both"/>
        <w:rPr>
          <w:rFonts w:ascii="Times New Roman" w:eastAsia="Verdana" w:hAnsi="Times New Roman" w:cs="Times New Roman"/>
          <w:color w:val="000000"/>
          <w:sz w:val="24"/>
          <w:szCs w:val="24"/>
          <w:lang w:val="bg" w:eastAsia="bg-BG"/>
        </w:rPr>
      </w:pPr>
      <w:r w:rsidRPr="00E033DA">
        <w:rPr>
          <w:rFonts w:ascii="Times New Roman" w:eastAsia="Verdana" w:hAnsi="Times New Roman" w:cs="Times New Roman"/>
          <w:color w:val="000000"/>
          <w:sz w:val="24"/>
          <w:szCs w:val="24"/>
          <w:lang w:val="bg" w:eastAsia="bg-BG"/>
        </w:rPr>
        <w:t xml:space="preserve">Във връзка с дейностите по сертифициране на органи за извънсъдебно уреждане на спорове, даване на статут на доверен подател на сигнали и одобрен изследовател, се предвижда Комисията да събира такси, </w:t>
      </w:r>
      <w:r w:rsidR="00F72157" w:rsidRPr="00F72157">
        <w:rPr>
          <w:rFonts w:ascii="Times New Roman" w:eastAsia="Verdana" w:hAnsi="Times New Roman" w:cs="Times New Roman"/>
          <w:color w:val="000000"/>
          <w:sz w:val="24"/>
          <w:szCs w:val="24"/>
          <w:lang w:val="bg" w:eastAsia="bg-BG"/>
        </w:rPr>
        <w:t xml:space="preserve">определени с Тарифата за таксите, които се събират от Комисията за регулиране на съобщенията по Закона за електронните съобщения (изм. и доп. ДВ. бр.30 от 4 април 2023г.) - Тарифата, която се одобрява от Министерския съвет. Размерът  на таксите, ще бъде определен, в съответствие с изискванията на чл. 4, ал. 1 от Методиката за определяне на разходоориентиран размер на таксите по чл. 7а от Закона за ограничаване на административното регулиране и административния контрол върху стопанската дейност. </w:t>
      </w:r>
    </w:p>
    <w:p w:rsidR="00E033DA" w:rsidRPr="00E033DA" w:rsidRDefault="00E033DA" w:rsidP="00F72157">
      <w:pPr>
        <w:pBdr>
          <w:top w:val="nil"/>
          <w:left w:val="nil"/>
          <w:bottom w:val="nil"/>
          <w:right w:val="nil"/>
          <w:between w:val="nil"/>
        </w:pBdr>
        <w:shd w:val="clear" w:color="auto" w:fill="FFFFFF"/>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Във връзка с чл. 89 от Регламент (ЕС) 2022/2065, който изменя Директива 2000/31/Е, с преходните и заключителни разпоредби на законопроекта са предвидени съответните   изменения в Закона за електронната търговия. </w:t>
      </w:r>
    </w:p>
    <w:p w:rsid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С приемането на проекта на ЗИД на ЗЕС се въвеждат на мерките по прилагането на Регламент (ЕС) 2022/2065 цели действащата към момента правна уредба да бъде развита и адаптирана към приетото европейско законодателство.</w:t>
      </w:r>
    </w:p>
    <w:p w:rsidR="001B2DF8" w:rsidRPr="00E033DA" w:rsidRDefault="001B2DF8"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Pr>
          <w:rFonts w:ascii="Times New Roman" w:eastAsia="Verdana" w:hAnsi="Times New Roman" w:cs="Times New Roman"/>
          <w:sz w:val="24"/>
          <w:szCs w:val="24"/>
          <w:lang w:val="bg" w:eastAsia="bg-BG"/>
        </w:rPr>
        <w:t>Предлага се и промяна в Закона за автомобилните превози, която има за цел да разреши установени празноти, водещи до трудно и</w:t>
      </w:r>
      <w:r w:rsidR="008D156A">
        <w:rPr>
          <w:rFonts w:ascii="Times New Roman" w:eastAsia="Verdana" w:hAnsi="Times New Roman" w:cs="Times New Roman"/>
          <w:sz w:val="24"/>
          <w:szCs w:val="24"/>
          <w:lang w:val="bg" w:eastAsia="bg-BG"/>
        </w:rPr>
        <w:t>ли</w:t>
      </w:r>
      <w:r>
        <w:rPr>
          <w:rFonts w:ascii="Times New Roman" w:eastAsia="Verdana" w:hAnsi="Times New Roman" w:cs="Times New Roman"/>
          <w:sz w:val="24"/>
          <w:szCs w:val="24"/>
          <w:lang w:val="bg" w:eastAsia="bg-BG"/>
        </w:rPr>
        <w:t xml:space="preserve"> невъзможно изпълнение на влезли в сила решения</w:t>
      </w:r>
      <w:r w:rsidR="008D156A">
        <w:rPr>
          <w:rFonts w:ascii="Times New Roman" w:eastAsia="Verdana" w:hAnsi="Times New Roman" w:cs="Times New Roman"/>
          <w:sz w:val="24"/>
          <w:szCs w:val="24"/>
          <w:lang w:val="bg" w:eastAsia="bg-BG"/>
        </w:rPr>
        <w:t xml:space="preserve"> на административни органи за прекратяване на нарушения в областта автомобилните превоз (напр. нерегламентирани превози на пътници), организирани и осъществявани чрез мобилни приложения. </w:t>
      </w:r>
      <w:r w:rsidR="00D53E6F">
        <w:rPr>
          <w:rFonts w:ascii="Times New Roman" w:eastAsia="Verdana" w:hAnsi="Times New Roman" w:cs="Times New Roman"/>
          <w:sz w:val="24"/>
          <w:szCs w:val="24"/>
          <w:lang w:val="bg" w:eastAsia="bg-BG"/>
        </w:rPr>
        <w:t xml:space="preserve">Така се </w:t>
      </w:r>
      <w:r w:rsidR="008D156A">
        <w:rPr>
          <w:rFonts w:ascii="Times New Roman" w:eastAsia="Verdana" w:hAnsi="Times New Roman" w:cs="Times New Roman"/>
          <w:sz w:val="24"/>
          <w:szCs w:val="24"/>
          <w:lang w:val="bg" w:eastAsia="bg-BG"/>
        </w:rPr>
        <w:t>създа</w:t>
      </w:r>
      <w:r w:rsidR="00D53E6F">
        <w:rPr>
          <w:rFonts w:ascii="Times New Roman" w:eastAsia="Verdana" w:hAnsi="Times New Roman" w:cs="Times New Roman"/>
          <w:sz w:val="24"/>
          <w:szCs w:val="24"/>
          <w:lang w:val="bg" w:eastAsia="bg-BG"/>
        </w:rPr>
        <w:t>ва</w:t>
      </w:r>
      <w:r w:rsidR="008D156A">
        <w:rPr>
          <w:rFonts w:ascii="Times New Roman" w:eastAsia="Verdana" w:hAnsi="Times New Roman" w:cs="Times New Roman"/>
          <w:sz w:val="24"/>
          <w:szCs w:val="24"/>
          <w:lang w:val="bg" w:eastAsia="bg-BG"/>
        </w:rPr>
        <w:t xml:space="preserve"> възможност за ефективно преустановяване на </w:t>
      </w:r>
      <w:r w:rsidR="00D53E6F">
        <w:rPr>
          <w:rFonts w:ascii="Times New Roman" w:eastAsia="Verdana" w:hAnsi="Times New Roman" w:cs="Times New Roman"/>
          <w:sz w:val="24"/>
          <w:szCs w:val="24"/>
          <w:lang w:val="bg" w:eastAsia="bg-BG"/>
        </w:rPr>
        <w:t xml:space="preserve">нарушения на закона, който е в пълно съответствие с правото на Европейския съюз, както и на нарушения на разпоредби на това право с директен ефект. </w:t>
      </w:r>
      <w:r w:rsidR="00D53E6F" w:rsidRPr="00E033DA">
        <w:rPr>
          <w:rFonts w:ascii="Times New Roman" w:eastAsia="Verdana" w:hAnsi="Times New Roman" w:cs="Times New Roman"/>
          <w:color w:val="000000"/>
          <w:sz w:val="24"/>
          <w:szCs w:val="24"/>
          <w:lang w:eastAsia="bg-BG"/>
        </w:rPr>
        <w:t xml:space="preserve">За преустановяване на публикуването на незаконно съдържание, отнасящо се до нарушение на този закон или на акт на европейското право, </w:t>
      </w:r>
      <w:r w:rsidR="00D53E6F">
        <w:rPr>
          <w:rFonts w:ascii="Times New Roman" w:eastAsia="Verdana" w:hAnsi="Times New Roman" w:cs="Times New Roman"/>
          <w:color w:val="000000"/>
          <w:sz w:val="24"/>
          <w:szCs w:val="24"/>
          <w:lang w:eastAsia="bg-BG"/>
        </w:rPr>
        <w:t>изпълнителният директор на Изпълнителна агенция „Автомобилна администрация“, се определя като орган, компетентен издаването на</w:t>
      </w:r>
      <w:r w:rsidR="00D53E6F" w:rsidRPr="00E033DA">
        <w:rPr>
          <w:rFonts w:ascii="Times New Roman" w:eastAsia="Verdana" w:hAnsi="Times New Roman" w:cs="Times New Roman"/>
          <w:color w:val="000000"/>
          <w:sz w:val="24"/>
          <w:szCs w:val="24"/>
          <w:lang w:eastAsia="bg-BG"/>
        </w:rPr>
        <w:t xml:space="preserve"> з</w:t>
      </w:r>
      <w:r w:rsidR="00D53E6F">
        <w:rPr>
          <w:rFonts w:ascii="Times New Roman" w:eastAsia="Verdana" w:hAnsi="Times New Roman" w:cs="Times New Roman"/>
          <w:color w:val="000000"/>
          <w:sz w:val="24"/>
          <w:szCs w:val="24"/>
          <w:lang w:eastAsia="bg-BG"/>
        </w:rPr>
        <w:t>аповед по чл. 9, параграф 1 от р</w:t>
      </w:r>
      <w:r w:rsidR="00D53E6F" w:rsidRPr="00E033DA">
        <w:rPr>
          <w:rFonts w:ascii="Times New Roman" w:eastAsia="Verdana" w:hAnsi="Times New Roman" w:cs="Times New Roman"/>
          <w:color w:val="000000"/>
          <w:sz w:val="24"/>
          <w:szCs w:val="24"/>
          <w:lang w:eastAsia="bg-BG"/>
        </w:rPr>
        <w:t>егламент</w:t>
      </w:r>
      <w:r w:rsidR="00D53E6F">
        <w:rPr>
          <w:rFonts w:ascii="Times New Roman" w:eastAsia="Verdana" w:hAnsi="Times New Roman" w:cs="Times New Roman"/>
          <w:color w:val="000000"/>
          <w:sz w:val="24"/>
          <w:szCs w:val="24"/>
          <w:lang w:eastAsia="bg-BG"/>
        </w:rPr>
        <w:t xml:space="preserve">а. Така компетентността му да налага принудителни административни мерки по глава девета от </w:t>
      </w:r>
      <w:r w:rsidR="00D53E6F">
        <w:rPr>
          <w:rFonts w:ascii="Times New Roman" w:eastAsia="Verdana" w:hAnsi="Times New Roman" w:cs="Times New Roman"/>
          <w:color w:val="000000"/>
          <w:sz w:val="24"/>
          <w:szCs w:val="24"/>
          <w:lang w:eastAsia="bg-BG"/>
        </w:rPr>
        <w:lastRenderedPageBreak/>
        <w:t xml:space="preserve">Закона за автомобилните превози се допълва с мерки, предвидени в регламента при публикуване на незаконно съдържание. </w:t>
      </w:r>
    </w:p>
    <w:p w:rsidR="00474EC6" w:rsidRDefault="00E033DA" w:rsidP="00474EC6">
      <w:pPr>
        <w:autoSpaceDE w:val="0"/>
        <w:autoSpaceDN w:val="0"/>
        <w:adjustRightInd w:val="0"/>
        <w:spacing w:before="240"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Втората част от </w:t>
      </w:r>
      <w:r w:rsidR="00C62D14">
        <w:rPr>
          <w:rFonts w:ascii="Times New Roman" w:eastAsia="Verdana" w:hAnsi="Times New Roman" w:cs="Times New Roman"/>
          <w:sz w:val="24"/>
          <w:szCs w:val="24"/>
          <w:lang w:val="bg" w:eastAsia="bg-BG"/>
        </w:rPr>
        <w:t xml:space="preserve">предложените </w:t>
      </w:r>
      <w:r w:rsidRPr="00E033DA">
        <w:rPr>
          <w:rFonts w:ascii="Times New Roman" w:eastAsia="Verdana" w:hAnsi="Times New Roman" w:cs="Times New Roman"/>
          <w:sz w:val="24"/>
          <w:szCs w:val="24"/>
          <w:lang w:val="bg" w:eastAsia="bg-BG"/>
        </w:rPr>
        <w:t>промени</w:t>
      </w:r>
      <w:r w:rsidR="00C62D14">
        <w:rPr>
          <w:rFonts w:ascii="Times New Roman" w:eastAsia="Verdana" w:hAnsi="Times New Roman" w:cs="Times New Roman"/>
          <w:sz w:val="24"/>
          <w:szCs w:val="24"/>
          <w:lang w:val="bg" w:eastAsia="bg-BG"/>
        </w:rPr>
        <w:t xml:space="preserve"> имат за цел</w:t>
      </w:r>
      <w:r w:rsidRPr="00E033DA">
        <w:rPr>
          <w:rFonts w:ascii="Times New Roman" w:eastAsia="Verdana" w:hAnsi="Times New Roman" w:cs="Times New Roman"/>
          <w:sz w:val="24"/>
          <w:szCs w:val="24"/>
          <w:lang w:val="bg" w:eastAsia="bg-BG"/>
        </w:rPr>
        <w:t xml:space="preserve"> да </w:t>
      </w:r>
      <w:r w:rsidR="00C62D14" w:rsidRPr="00E033DA">
        <w:rPr>
          <w:rFonts w:ascii="Times New Roman" w:eastAsia="Verdana" w:hAnsi="Times New Roman" w:cs="Times New Roman"/>
          <w:sz w:val="24"/>
          <w:szCs w:val="24"/>
          <w:lang w:val="bg" w:eastAsia="bg-BG"/>
        </w:rPr>
        <w:t>облекч</w:t>
      </w:r>
      <w:r w:rsidR="00C62D14">
        <w:rPr>
          <w:rFonts w:ascii="Times New Roman" w:eastAsia="Verdana" w:hAnsi="Times New Roman" w:cs="Times New Roman"/>
          <w:sz w:val="24"/>
          <w:szCs w:val="24"/>
          <w:lang w:val="bg" w:eastAsia="bg-BG"/>
        </w:rPr>
        <w:t>аване на</w:t>
      </w:r>
      <w:r w:rsidR="00C62D14" w:rsidRPr="00E033DA">
        <w:rPr>
          <w:rFonts w:ascii="Times New Roman" w:eastAsia="Verdana" w:hAnsi="Times New Roman" w:cs="Times New Roman"/>
          <w:sz w:val="24"/>
          <w:szCs w:val="24"/>
          <w:lang w:val="bg" w:eastAsia="bg-BG"/>
        </w:rPr>
        <w:t xml:space="preserve"> </w:t>
      </w:r>
      <w:r w:rsidRPr="00E033DA">
        <w:rPr>
          <w:rFonts w:ascii="Times New Roman" w:eastAsia="Verdana" w:hAnsi="Times New Roman" w:cs="Times New Roman"/>
          <w:sz w:val="24"/>
          <w:szCs w:val="24"/>
          <w:lang w:val="bg" w:eastAsia="bg-BG"/>
        </w:rPr>
        <w:t xml:space="preserve">административната тежест при изграждане и поддържане на електронни съобщителни мрежи. </w:t>
      </w:r>
    </w:p>
    <w:p w:rsidR="00E033DA" w:rsidRDefault="00E033DA" w:rsidP="00474EC6">
      <w:pPr>
        <w:autoSpaceDE w:val="0"/>
        <w:autoSpaceDN w:val="0"/>
        <w:adjustRightInd w:val="0"/>
        <w:spacing w:before="240"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Целите на цифровото десетилетие (Digital Decade Targets) задължават страните от ЕС, включително България да осигурят гигабитова свързаност за нуждите на гражданите и бизнеса (Gigabit for Everyone). Това е отразено и в </w:t>
      </w:r>
      <w:r w:rsidR="00C62D14">
        <w:rPr>
          <w:rFonts w:ascii="Times New Roman" w:eastAsia="Verdana" w:hAnsi="Times New Roman" w:cs="Times New Roman"/>
          <w:sz w:val="24"/>
          <w:szCs w:val="24"/>
          <w:lang w:val="bg" w:eastAsia="bg-BG"/>
        </w:rPr>
        <w:t>Националния план за възстановяване и устойчивост</w:t>
      </w:r>
      <w:r w:rsidRPr="00E033DA">
        <w:rPr>
          <w:rFonts w:ascii="Times New Roman" w:eastAsia="Verdana" w:hAnsi="Times New Roman" w:cs="Times New Roman"/>
          <w:sz w:val="24"/>
          <w:szCs w:val="24"/>
          <w:lang w:val="bg" w:eastAsia="bg-BG"/>
        </w:rPr>
        <w:t xml:space="preserve">, част Свързаност, който предвижда мащабно разгръщане на високоскоростни мрежи (Very High Capacity Networks) до малки и отдалечени населени места за изключително кратък срок. Наложително е значително ускоряване и облекчаване на нормите и процедурите за изграждане и обновяване на съобщителната инфраструктура. В тази връзка са и предложените </w:t>
      </w:r>
      <w:r w:rsidR="00C62D14">
        <w:rPr>
          <w:rFonts w:ascii="Times New Roman" w:eastAsia="Verdana" w:hAnsi="Times New Roman" w:cs="Times New Roman"/>
          <w:sz w:val="24"/>
          <w:szCs w:val="24"/>
          <w:lang w:val="bg" w:eastAsia="bg-BG"/>
        </w:rPr>
        <w:t>изменения</w:t>
      </w:r>
      <w:r w:rsidR="00C62D14" w:rsidRPr="00E033DA">
        <w:rPr>
          <w:rFonts w:ascii="Times New Roman" w:eastAsia="Verdana" w:hAnsi="Times New Roman" w:cs="Times New Roman"/>
          <w:sz w:val="24"/>
          <w:szCs w:val="24"/>
          <w:lang w:val="bg" w:eastAsia="bg-BG"/>
        </w:rPr>
        <w:t xml:space="preserve"> </w:t>
      </w:r>
      <w:r w:rsidRPr="00E033DA">
        <w:rPr>
          <w:rFonts w:ascii="Times New Roman" w:eastAsia="Verdana" w:hAnsi="Times New Roman" w:cs="Times New Roman"/>
          <w:sz w:val="24"/>
          <w:szCs w:val="24"/>
          <w:lang w:val="bg" w:eastAsia="bg-BG"/>
        </w:rPr>
        <w:t xml:space="preserve">в </w:t>
      </w:r>
      <w:r w:rsidR="00C62D14">
        <w:rPr>
          <w:rFonts w:ascii="Times New Roman" w:eastAsia="Verdana" w:hAnsi="Times New Roman" w:cs="Times New Roman"/>
          <w:sz w:val="24"/>
          <w:szCs w:val="24"/>
          <w:lang w:val="bg" w:eastAsia="bg-BG"/>
        </w:rPr>
        <w:t>чл. 33 от ЗЕС</w:t>
      </w:r>
      <w:r w:rsidRPr="00E033DA">
        <w:rPr>
          <w:rFonts w:ascii="Times New Roman" w:eastAsia="Verdana" w:hAnsi="Times New Roman" w:cs="Times New Roman"/>
          <w:sz w:val="24"/>
          <w:szCs w:val="24"/>
          <w:lang w:val="bg" w:eastAsia="bg-BG"/>
        </w:rPr>
        <w:t xml:space="preserve">, </w:t>
      </w:r>
      <w:r w:rsidR="00C62D14">
        <w:rPr>
          <w:rFonts w:ascii="Times New Roman" w:eastAsia="Verdana" w:hAnsi="Times New Roman" w:cs="Times New Roman"/>
          <w:sz w:val="24"/>
          <w:szCs w:val="24"/>
          <w:lang w:val="bg" w:eastAsia="bg-BG"/>
        </w:rPr>
        <w:t xml:space="preserve">в </w:t>
      </w:r>
      <w:r w:rsidRPr="00E033DA">
        <w:rPr>
          <w:rFonts w:ascii="Times New Roman" w:eastAsia="Verdana" w:hAnsi="Times New Roman" w:cs="Times New Roman"/>
          <w:sz w:val="24"/>
          <w:szCs w:val="24"/>
          <w:lang w:val="bg" w:eastAsia="bg-BG"/>
        </w:rPr>
        <w:t xml:space="preserve">Закона за устройство на територията (ЗУТ) и Закона за електронните съобщителни мрежи и физическата инфраструктура (ЗЕСМФИ). Процесът по законосъобразното изграждане или обновяване на съобщителна инфраструктура предвижда участието на множество административни органи с различна компетентност. Част от предложенията имат за цел да внесат уточнения в процедурите за регистрация или уведомяване на съответните администрации, така че да бъдат избегнати проблеми, които са установени в практиката. </w:t>
      </w:r>
    </w:p>
    <w:p w:rsidR="00CE6F25" w:rsidRPr="00CE6F25" w:rsidRDefault="00CE6F25" w:rsidP="00CE6F25">
      <w:pPr>
        <w:autoSpaceDE w:val="0"/>
        <w:autoSpaceDN w:val="0"/>
        <w:adjustRightInd w:val="0"/>
        <w:spacing w:before="240" w:after="120" w:line="240" w:lineRule="auto"/>
        <w:ind w:firstLine="567"/>
        <w:jc w:val="both"/>
        <w:rPr>
          <w:rFonts w:ascii="Times New Roman" w:eastAsia="Verdana" w:hAnsi="Times New Roman" w:cs="Times New Roman"/>
          <w:sz w:val="24"/>
          <w:szCs w:val="24"/>
          <w:lang w:val="bg" w:eastAsia="bg-BG"/>
        </w:rPr>
      </w:pPr>
      <w:r w:rsidRPr="00CE6F25">
        <w:rPr>
          <w:rFonts w:ascii="Times New Roman" w:eastAsia="Verdana" w:hAnsi="Times New Roman" w:cs="Times New Roman"/>
          <w:sz w:val="24"/>
          <w:szCs w:val="24"/>
          <w:lang w:eastAsia="bg-BG"/>
        </w:rPr>
        <w:t>С § 21 от преходните и заключителните разпоредби на законопроекта, с който се предлагат промени в Закона за електронните съобщителни мрежи и физическа инфраструктура (ЗЕСМФИ)</w:t>
      </w:r>
      <w:r>
        <w:rPr>
          <w:rFonts w:ascii="Times New Roman" w:eastAsia="Verdana" w:hAnsi="Times New Roman" w:cs="Times New Roman"/>
          <w:sz w:val="24"/>
          <w:szCs w:val="24"/>
          <w:lang w:eastAsia="bg-BG"/>
        </w:rPr>
        <w:t>.</w:t>
      </w:r>
      <w:r>
        <w:rPr>
          <w:rFonts w:ascii="Times New Roman" w:eastAsia="Verdana" w:hAnsi="Times New Roman" w:cs="Times New Roman"/>
          <w:sz w:val="24"/>
          <w:szCs w:val="24"/>
          <w:lang w:val="bg" w:eastAsia="bg-BG"/>
        </w:rPr>
        <w:t xml:space="preserve"> </w:t>
      </w:r>
      <w:r w:rsidRPr="00CE6F25">
        <w:rPr>
          <w:rFonts w:ascii="Times New Roman" w:eastAsiaTheme="minorEastAsia" w:hAnsi="Times New Roman" w:cs="Times New Roman"/>
          <w:sz w:val="24"/>
          <w:szCs w:val="24"/>
          <w:lang w:eastAsia="bg-BG"/>
        </w:rPr>
        <w:t xml:space="preserve">Целта на предложението е правна сигурност и предвидимост посредством предвиждането на приемането от министъра на транспорта и съобщенията (посредством разширяване на обхвата на Методиката по чл. 3, ал. 5 от ЗЕСМФИ) на </w:t>
      </w:r>
      <w:r w:rsidRPr="00CE6F25">
        <w:rPr>
          <w:rFonts w:ascii="Times New Roman" w:eastAsiaTheme="minorEastAsia" w:hAnsi="Times New Roman" w:cs="Times New Roman"/>
          <w:bCs/>
          <w:sz w:val="24"/>
          <w:szCs w:val="24"/>
          <w:lang w:eastAsia="bg-BG"/>
        </w:rPr>
        <w:t xml:space="preserve">ясни и конкретни правила в две посоки: </w:t>
      </w:r>
    </w:p>
    <w:p w:rsidR="00CE6F25" w:rsidRPr="00CE6F25" w:rsidRDefault="00CE6F25" w:rsidP="00677BCF">
      <w:pPr>
        <w:numPr>
          <w:ilvl w:val="1"/>
          <w:numId w:val="12"/>
        </w:numPr>
        <w:tabs>
          <w:tab w:val="clear" w:pos="1440"/>
          <w:tab w:val="left" w:pos="1080"/>
        </w:tabs>
        <w:autoSpaceDE w:val="0"/>
        <w:autoSpaceDN w:val="0"/>
        <w:adjustRightInd w:val="0"/>
        <w:spacing w:after="120" w:line="240" w:lineRule="auto"/>
        <w:ind w:left="90" w:firstLine="450"/>
        <w:jc w:val="both"/>
        <w:rPr>
          <w:rFonts w:ascii="Times New Roman" w:eastAsiaTheme="minorEastAsia" w:hAnsi="Times New Roman" w:cs="Times New Roman"/>
          <w:sz w:val="24"/>
          <w:szCs w:val="24"/>
          <w:lang w:eastAsia="bg-BG"/>
        </w:rPr>
      </w:pPr>
      <w:r w:rsidRPr="00CE6F25">
        <w:rPr>
          <w:rFonts w:ascii="Times New Roman" w:eastAsiaTheme="minorEastAsia" w:hAnsi="Times New Roman" w:cs="Times New Roman"/>
          <w:bCs/>
          <w:sz w:val="24"/>
          <w:szCs w:val="24"/>
          <w:lang w:eastAsia="bg-BG"/>
        </w:rPr>
        <w:t xml:space="preserve">за изчисляване на размера на обезщетенията за възникнали сервитути по чл. 31, ал. 2, т. 2 върху имоти, които са частна държавна и общинска собственост </w:t>
      </w:r>
      <w:r w:rsidRPr="00CE6F25">
        <w:rPr>
          <w:rFonts w:ascii="Times New Roman" w:eastAsiaTheme="minorEastAsia" w:hAnsi="Times New Roman" w:cs="Times New Roman"/>
          <w:sz w:val="24"/>
          <w:szCs w:val="24"/>
          <w:lang w:eastAsia="bg-BG"/>
        </w:rPr>
        <w:t xml:space="preserve">(това е покрито от първата част на предложението: </w:t>
      </w:r>
      <w:r w:rsidRPr="00CE6F25">
        <w:rPr>
          <w:rFonts w:ascii="Times New Roman" w:eastAsiaTheme="minorEastAsia" w:hAnsi="Times New Roman" w:cs="Times New Roman"/>
          <w:sz w:val="24"/>
          <w:szCs w:val="24"/>
          <w:lang w:val="en-US" w:eastAsia="bg-BG"/>
        </w:rPr>
        <w:t>“</w:t>
      </w:r>
      <w:r w:rsidRPr="00CE6F25">
        <w:rPr>
          <w:rFonts w:ascii="Times New Roman" w:eastAsiaTheme="minorEastAsia" w:hAnsi="Times New Roman" w:cs="Times New Roman"/>
          <w:i/>
          <w:iCs/>
          <w:sz w:val="24"/>
          <w:szCs w:val="24"/>
          <w:lang w:eastAsia="bg-BG"/>
        </w:rPr>
        <w:t>С методиката се определят и правилата за изчисляване на размера на обезщетенията за възникнали сервитути по чл. 31, ал. 2, т. 2 върху имоти – частна държавна или общинска собственост</w:t>
      </w:r>
      <w:r w:rsidRPr="00CE6F25">
        <w:rPr>
          <w:rFonts w:ascii="Times New Roman" w:eastAsiaTheme="minorEastAsia" w:hAnsi="Times New Roman" w:cs="Times New Roman"/>
          <w:sz w:val="24"/>
          <w:szCs w:val="24"/>
          <w:lang w:val="en-US" w:eastAsia="bg-BG"/>
        </w:rPr>
        <w:t>”</w:t>
      </w:r>
      <w:r w:rsidRPr="00CE6F25">
        <w:rPr>
          <w:rFonts w:ascii="Times New Roman" w:eastAsiaTheme="minorEastAsia" w:hAnsi="Times New Roman" w:cs="Times New Roman"/>
          <w:sz w:val="24"/>
          <w:szCs w:val="24"/>
          <w:lang w:eastAsia="bg-BG"/>
        </w:rPr>
        <w:t>)</w:t>
      </w:r>
    </w:p>
    <w:p w:rsidR="00CE6F25" w:rsidRPr="00CE6F25" w:rsidRDefault="00CE6F25" w:rsidP="00677BCF">
      <w:pPr>
        <w:numPr>
          <w:ilvl w:val="1"/>
          <w:numId w:val="12"/>
        </w:numPr>
        <w:tabs>
          <w:tab w:val="clear" w:pos="1440"/>
          <w:tab w:val="left" w:pos="1080"/>
        </w:tabs>
        <w:autoSpaceDE w:val="0"/>
        <w:autoSpaceDN w:val="0"/>
        <w:adjustRightInd w:val="0"/>
        <w:spacing w:after="120" w:line="240" w:lineRule="auto"/>
        <w:ind w:left="90" w:firstLine="450"/>
        <w:jc w:val="both"/>
        <w:rPr>
          <w:rFonts w:ascii="Times New Roman" w:eastAsiaTheme="minorEastAsia" w:hAnsi="Times New Roman" w:cs="Times New Roman"/>
          <w:sz w:val="24"/>
          <w:szCs w:val="24"/>
          <w:lang w:eastAsia="bg-BG"/>
        </w:rPr>
      </w:pPr>
      <w:r w:rsidRPr="00CE6F25">
        <w:rPr>
          <w:rFonts w:ascii="Times New Roman" w:eastAsiaTheme="minorEastAsia" w:hAnsi="Times New Roman" w:cs="Times New Roman"/>
          <w:bCs/>
          <w:sz w:val="24"/>
          <w:szCs w:val="24"/>
          <w:lang w:eastAsia="bg-BG"/>
        </w:rPr>
        <w:t>както и за учредяването на други ограничени вещни права върху имоти – публична и частна държавна и общинска собственост (различни от сервитути)</w:t>
      </w:r>
      <w:r w:rsidRPr="00CE6F25">
        <w:rPr>
          <w:rFonts w:ascii="Times New Roman" w:eastAsiaTheme="minorEastAsia" w:hAnsi="Times New Roman" w:cs="Times New Roman"/>
          <w:sz w:val="24"/>
          <w:szCs w:val="24"/>
          <w:lang w:val="en-US" w:eastAsia="bg-BG"/>
        </w:rPr>
        <w:t xml:space="preserve">, </w:t>
      </w:r>
      <w:r w:rsidRPr="00CE6F25">
        <w:rPr>
          <w:rFonts w:ascii="Times New Roman" w:eastAsiaTheme="minorEastAsia" w:hAnsi="Times New Roman" w:cs="Times New Roman"/>
          <w:sz w:val="24"/>
          <w:szCs w:val="24"/>
          <w:lang w:eastAsia="bg-BG"/>
        </w:rPr>
        <w:t>което е покрито от втората част на предложението: „</w:t>
      </w:r>
      <w:r w:rsidRPr="00CE6F25">
        <w:rPr>
          <w:rFonts w:ascii="Times New Roman" w:eastAsiaTheme="minorEastAsia" w:hAnsi="Times New Roman" w:cs="Times New Roman"/>
          <w:i/>
          <w:iCs/>
          <w:sz w:val="24"/>
          <w:szCs w:val="24"/>
          <w:lang w:eastAsia="bg-BG"/>
        </w:rPr>
        <w:t>както и за учредяването на други ограничени вещни права върху имоти публична или частна държавна или общинска собственост за изграждане на нова или разширяване на съществуваща физическа инфраструктура за разполагане на електронни съобщителни мрежи</w:t>
      </w:r>
      <w:r w:rsidRPr="00CE6F25">
        <w:rPr>
          <w:rFonts w:ascii="Times New Roman" w:eastAsiaTheme="minorEastAsia" w:hAnsi="Times New Roman" w:cs="Times New Roman"/>
          <w:sz w:val="24"/>
          <w:szCs w:val="24"/>
          <w:lang w:eastAsia="bg-BG"/>
        </w:rPr>
        <w:t>“.</w:t>
      </w:r>
    </w:p>
    <w:p w:rsidR="00EB588C" w:rsidRDefault="00CE6F25" w:rsidP="00474EC6">
      <w:pPr>
        <w:autoSpaceDE w:val="0"/>
        <w:autoSpaceDN w:val="0"/>
        <w:adjustRightInd w:val="0"/>
        <w:spacing w:after="120" w:line="240" w:lineRule="auto"/>
        <w:ind w:firstLine="567"/>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eastAsia="bg-BG"/>
        </w:rPr>
        <w:t>П</w:t>
      </w:r>
      <w:r w:rsidRPr="00CE6F25">
        <w:rPr>
          <w:rFonts w:ascii="Times New Roman" w:eastAsiaTheme="minorEastAsia" w:hAnsi="Times New Roman" w:cs="Times New Roman"/>
          <w:sz w:val="24"/>
          <w:szCs w:val="24"/>
          <w:lang w:eastAsia="bg-BG"/>
        </w:rPr>
        <w:t xml:space="preserve">редложението </w:t>
      </w:r>
      <w:r>
        <w:rPr>
          <w:rFonts w:ascii="Times New Roman" w:eastAsiaTheme="minorEastAsia" w:hAnsi="Times New Roman" w:cs="Times New Roman"/>
          <w:sz w:val="24"/>
          <w:szCs w:val="24"/>
          <w:lang w:eastAsia="bg-BG"/>
        </w:rPr>
        <w:t>не</w:t>
      </w:r>
      <w:r w:rsidRPr="00CE6F25">
        <w:rPr>
          <w:rFonts w:ascii="Times New Roman" w:eastAsiaTheme="minorEastAsia" w:hAnsi="Times New Roman" w:cs="Times New Roman"/>
          <w:sz w:val="24"/>
          <w:szCs w:val="24"/>
          <w:lang w:eastAsia="bg-BG"/>
        </w:rPr>
        <w:t xml:space="preserve"> цели обхващане с методиката на сервитутите по чл. 31, ал. 3, доколкото за тях в закон, нито чисто частната собственост, доколкото там уговарянето на обезщетението е при свобода на волята на страните</w:t>
      </w:r>
      <w:r>
        <w:rPr>
          <w:rFonts w:ascii="Times New Roman" w:eastAsiaTheme="minorEastAsia" w:hAnsi="Times New Roman" w:cs="Times New Roman"/>
          <w:sz w:val="24"/>
          <w:szCs w:val="24"/>
          <w:lang w:eastAsia="bg-BG"/>
        </w:rPr>
        <w:t>, а ще създаде по-ясни правила и ще стимулира конкуренцията</w:t>
      </w:r>
      <w:r w:rsidRPr="00CE6F25">
        <w:rPr>
          <w:rFonts w:ascii="Times New Roman" w:eastAsiaTheme="minorEastAsia" w:hAnsi="Times New Roman" w:cs="Times New Roman"/>
          <w:sz w:val="24"/>
          <w:szCs w:val="24"/>
          <w:lang w:eastAsia="bg-BG"/>
        </w:rPr>
        <w:t>.</w:t>
      </w:r>
    </w:p>
    <w:p w:rsidR="00CE6F25" w:rsidRDefault="00EB588C" w:rsidP="00474EC6">
      <w:pPr>
        <w:autoSpaceDE w:val="0"/>
        <w:autoSpaceDN w:val="0"/>
        <w:adjustRightInd w:val="0"/>
        <w:spacing w:after="120" w:line="240" w:lineRule="auto"/>
        <w:ind w:firstLine="567"/>
        <w:jc w:val="both"/>
        <w:rPr>
          <w:rFonts w:ascii="Times New Roman" w:eastAsiaTheme="minorEastAsia" w:hAnsi="Times New Roman" w:cs="Times New Roman"/>
          <w:sz w:val="24"/>
          <w:szCs w:val="24"/>
          <w:lang w:eastAsia="bg-BG"/>
        </w:rPr>
      </w:pPr>
      <w:r w:rsidRPr="00EB588C">
        <w:rPr>
          <w:rFonts w:ascii="Times New Roman" w:eastAsiaTheme="minorEastAsia" w:hAnsi="Times New Roman" w:cs="Times New Roman"/>
          <w:sz w:val="24"/>
          <w:szCs w:val="24"/>
          <w:lang w:eastAsia="bg-BG"/>
        </w:rPr>
        <w:t xml:space="preserve">С предложеното допълнение на чл. 50, ал. 3, точка 1 от ЗЕСМФИ ще се въведат реални мерки за облекчаване на режима, приложим по общия ред на ЗУТ. Ще се създават условия за опростяване на административните процедури, свързани с издаването на актове от компетентните органи за изграждане, поддържане, развитие и модернизиране на физическа инфраструктура за разполагане на електронни съобщителни мрежи в </w:t>
      </w:r>
      <w:r w:rsidRPr="00EB588C">
        <w:rPr>
          <w:rFonts w:ascii="Times New Roman" w:eastAsiaTheme="minorEastAsia" w:hAnsi="Times New Roman" w:cs="Times New Roman"/>
          <w:sz w:val="24"/>
          <w:szCs w:val="24"/>
          <w:lang w:eastAsia="bg-BG"/>
        </w:rPr>
        <w:lastRenderedPageBreak/>
        <w:t>съществуващите пътища, находящи се в труднодостъпни населени места, обширните земеделски и горски територии.</w:t>
      </w:r>
      <w:r w:rsidR="00CE6F25" w:rsidRPr="00CE6F25">
        <w:rPr>
          <w:rFonts w:ascii="Times New Roman" w:eastAsiaTheme="minorEastAsia" w:hAnsi="Times New Roman" w:cs="Times New Roman"/>
          <w:sz w:val="24"/>
          <w:szCs w:val="24"/>
          <w:lang w:eastAsia="bg-BG"/>
        </w:rPr>
        <w:t xml:space="preserve"> </w:t>
      </w:r>
    </w:p>
    <w:p w:rsidR="00EB588C" w:rsidRDefault="00EB588C" w:rsidP="00EB588C">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eastAsia="bg-BG"/>
        </w:rPr>
      </w:pPr>
      <w:r w:rsidRPr="00EB588C">
        <w:rPr>
          <w:rFonts w:ascii="Times New Roman" w:eastAsiaTheme="minorEastAsia" w:hAnsi="Times New Roman" w:cs="Times New Roman"/>
          <w:iCs/>
          <w:sz w:val="24"/>
          <w:szCs w:val="24"/>
          <w:lang w:eastAsia="bg-BG"/>
        </w:rPr>
        <w:t xml:space="preserve">Целта на предложението е да се уточнят видове пътища и пътни съоръжения, в обхвата на които не е необходимо да се процедира подробен устройствен план. Не е необходимо да се уточнява вида собственост. Сред изброените линейни обекти има електропроводи, газопроводи, водопроводни и канализационни мрежи, които не са публична собственост, а са част от капитала на търговски дружества. </w:t>
      </w:r>
    </w:p>
    <w:p w:rsidR="00EB588C" w:rsidRPr="00EB588C" w:rsidRDefault="00EB588C" w:rsidP="00677BCF">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eastAsia="bg-BG"/>
        </w:rPr>
      </w:pPr>
      <w:r w:rsidRPr="00EB588C">
        <w:rPr>
          <w:rFonts w:ascii="Times New Roman" w:eastAsiaTheme="minorEastAsia" w:hAnsi="Times New Roman" w:cs="Times New Roman"/>
          <w:iCs/>
          <w:sz w:val="24"/>
          <w:szCs w:val="24"/>
          <w:lang w:eastAsia="bg-BG"/>
        </w:rPr>
        <w:t>Националната законодателна рамка традиционно е една от най-стриктните в ЕС</w:t>
      </w:r>
      <w:r>
        <w:rPr>
          <w:rFonts w:ascii="Times New Roman" w:eastAsiaTheme="minorEastAsia" w:hAnsi="Times New Roman" w:cs="Times New Roman"/>
          <w:iCs/>
          <w:sz w:val="24"/>
          <w:szCs w:val="24"/>
          <w:lang w:eastAsia="bg-BG"/>
        </w:rPr>
        <w:t xml:space="preserve">. </w:t>
      </w:r>
      <w:r w:rsidRPr="00EB588C">
        <w:rPr>
          <w:rFonts w:ascii="Times New Roman" w:eastAsiaTheme="minorEastAsia" w:hAnsi="Times New Roman" w:cs="Times New Roman"/>
          <w:iCs/>
          <w:sz w:val="24"/>
          <w:szCs w:val="24"/>
          <w:lang w:eastAsia="bg-BG"/>
        </w:rPr>
        <w:t xml:space="preserve">ЗЕСМФИ, транспонирайки </w:t>
      </w:r>
      <w:r w:rsidRPr="00EB588C">
        <w:rPr>
          <w:rFonts w:ascii="Times New Roman" w:eastAsiaTheme="minorEastAsia" w:hAnsi="Times New Roman" w:cs="Times New Roman"/>
          <w:iCs/>
          <w:sz w:val="24"/>
          <w:szCs w:val="24"/>
          <w:lang w:val="en-US" w:eastAsia="bg-BG"/>
        </w:rPr>
        <w:t>Директива 2014/61/ЕС на Европейския парламент и на Съвета от 15 май 2014 г. относно мерките за намаляване на разходите за разгръщане на високоскоростни електронни съобщителни мрежи,</w:t>
      </w:r>
      <w:r w:rsidRPr="00EB588C">
        <w:rPr>
          <w:rFonts w:ascii="Times New Roman" w:eastAsiaTheme="minorEastAsia" w:hAnsi="Times New Roman" w:cs="Times New Roman"/>
          <w:iCs/>
          <w:sz w:val="24"/>
          <w:szCs w:val="24"/>
          <w:lang w:eastAsia="bg-BG"/>
        </w:rPr>
        <w:t xml:space="preserve"> за първи път въведе </w:t>
      </w:r>
      <w:r w:rsidRPr="00EB588C">
        <w:rPr>
          <w:rFonts w:ascii="Times New Roman" w:eastAsiaTheme="minorEastAsia" w:hAnsi="Times New Roman" w:cs="Times New Roman"/>
          <w:bCs/>
          <w:iCs/>
          <w:sz w:val="24"/>
          <w:szCs w:val="24"/>
          <w:lang w:eastAsia="bg-BG"/>
        </w:rPr>
        <w:t>принципното разграничение между пасивните елементи (физическата инфраструктура) и инсталираното по тях активни елементи и оборудване (приемно-предавателните станции)</w:t>
      </w:r>
      <w:r w:rsidRPr="00EB588C">
        <w:rPr>
          <w:rFonts w:ascii="Times New Roman" w:eastAsiaTheme="minorEastAsia" w:hAnsi="Times New Roman" w:cs="Times New Roman"/>
          <w:iCs/>
          <w:sz w:val="24"/>
          <w:szCs w:val="24"/>
          <w:lang w:eastAsia="bg-BG"/>
        </w:rPr>
        <w:t xml:space="preserve">. Макар и законодателно закрепено обаче, посоченото разграничение </w:t>
      </w:r>
      <w:r w:rsidRPr="00EB588C">
        <w:rPr>
          <w:rFonts w:ascii="Times New Roman" w:eastAsiaTheme="minorEastAsia" w:hAnsi="Times New Roman" w:cs="Times New Roman"/>
          <w:bCs/>
          <w:iCs/>
          <w:sz w:val="24"/>
          <w:szCs w:val="24"/>
          <w:lang w:eastAsia="bg-BG"/>
        </w:rPr>
        <w:t>не беше въведено на практика посредством адекватни законодателни механизми и съответно не постигна целта си</w:t>
      </w:r>
      <w:r w:rsidRPr="00EB588C">
        <w:rPr>
          <w:rFonts w:ascii="Times New Roman" w:eastAsiaTheme="minorEastAsia" w:hAnsi="Times New Roman" w:cs="Times New Roman"/>
          <w:iCs/>
          <w:sz w:val="24"/>
          <w:szCs w:val="24"/>
          <w:lang w:eastAsia="bg-BG"/>
        </w:rPr>
        <w:t>. Относно строителния режим чл. 47, ал. 1 от ЗЕСМФИ препраща към ЗУТ, в който</w:t>
      </w:r>
      <w:r w:rsidR="00677BCF">
        <w:rPr>
          <w:rFonts w:ascii="Times New Roman" w:eastAsiaTheme="minorEastAsia" w:hAnsi="Times New Roman" w:cs="Times New Roman"/>
          <w:iCs/>
          <w:sz w:val="24"/>
          <w:szCs w:val="24"/>
          <w:lang w:eastAsia="bg-BG"/>
        </w:rPr>
        <w:t xml:space="preserve"> </w:t>
      </w:r>
      <w:r w:rsidRPr="00EB588C">
        <w:rPr>
          <w:rFonts w:ascii="Times New Roman" w:eastAsiaTheme="minorEastAsia" w:hAnsi="Times New Roman" w:cs="Times New Roman"/>
          <w:bCs/>
          <w:iCs/>
          <w:sz w:val="24"/>
          <w:szCs w:val="24"/>
          <w:lang w:eastAsia="bg-BG"/>
        </w:rPr>
        <w:t>строежите се разглеждат като съвкупност на елементи и съоръжения като липсва ясно разграничение между физическа инфраструктура и активно оборудване (приемно-предавателна станция)</w:t>
      </w:r>
      <w:r w:rsidRPr="00EB588C">
        <w:rPr>
          <w:rFonts w:ascii="Times New Roman" w:eastAsiaTheme="minorEastAsia" w:hAnsi="Times New Roman" w:cs="Times New Roman"/>
          <w:iCs/>
          <w:sz w:val="24"/>
          <w:szCs w:val="24"/>
          <w:lang w:eastAsia="bg-BG"/>
        </w:rPr>
        <w:t xml:space="preserve">. Липсата на такова </w:t>
      </w:r>
      <w:r w:rsidRPr="00EB588C">
        <w:rPr>
          <w:rFonts w:ascii="Times New Roman" w:eastAsiaTheme="minorEastAsia" w:hAnsi="Times New Roman" w:cs="Times New Roman"/>
          <w:bCs/>
          <w:iCs/>
          <w:sz w:val="24"/>
          <w:szCs w:val="24"/>
          <w:lang w:eastAsia="bg-BG"/>
        </w:rPr>
        <w:t>съществено ограничава пълноценното и ефективно прилагане на облекчения ред, който беше приет именно, за да облекчи инсталирането на елементи за целите на развитие на 5G</w:t>
      </w:r>
      <w:r w:rsidRPr="00EB588C">
        <w:rPr>
          <w:rFonts w:ascii="Times New Roman" w:eastAsiaTheme="minorEastAsia" w:hAnsi="Times New Roman" w:cs="Times New Roman"/>
          <w:iCs/>
          <w:sz w:val="24"/>
          <w:szCs w:val="24"/>
          <w:lang w:eastAsia="bg-BG"/>
        </w:rPr>
        <w:t xml:space="preserve">. Опитите за регламентирането на т.н. „облекчен“ или „лек“ режим, насочен именно към разполагане на активно оборудване, в чл. 151, ал. 1, т. 16, беше стъпка в тази посока, но очевидно изолирането му уреждане, без други промени в ЗУТ, ограничи значително практическото му приложение, което е много спорадично за сектора. Междувременно след приемането му, самите текстове на лекия режим претърпяха промени, с които бяха въведени допълнителни изисквания, създаващи допълнителни затруднения в тълкуването и прилагането му.   </w:t>
      </w:r>
    </w:p>
    <w:p w:rsidR="00EB588C" w:rsidRPr="00EB588C" w:rsidRDefault="00EB588C" w:rsidP="00677BCF">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eastAsia="bg-BG"/>
        </w:rPr>
      </w:pPr>
      <w:r w:rsidRPr="00EB588C">
        <w:rPr>
          <w:rFonts w:ascii="Times New Roman" w:eastAsiaTheme="minorEastAsia" w:hAnsi="Times New Roman" w:cs="Times New Roman"/>
          <w:iCs/>
          <w:sz w:val="24"/>
          <w:szCs w:val="24"/>
          <w:lang w:eastAsia="bg-BG"/>
        </w:rPr>
        <w:t>Поради липсата на горепосоченото разграничение, на практика ЗУТ познава само трета категория строеж, доколкото предмет са каквито и да било елементи на мобилната мрежа.</w:t>
      </w:r>
    </w:p>
    <w:p w:rsidR="00EB588C" w:rsidRPr="00EB588C" w:rsidRDefault="00EB588C" w:rsidP="00EB588C">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eastAsia="bg-BG"/>
        </w:rPr>
      </w:pPr>
      <w:r w:rsidRPr="00EB588C">
        <w:rPr>
          <w:rFonts w:ascii="Times New Roman" w:eastAsiaTheme="minorEastAsia" w:hAnsi="Times New Roman" w:cs="Times New Roman"/>
          <w:iCs/>
          <w:sz w:val="24"/>
          <w:szCs w:val="24"/>
          <w:lang w:eastAsia="bg-BG"/>
        </w:rPr>
        <w:t xml:space="preserve">От друга страна, за да се изпълнят ефективно целите по чл. 2 от ЗЕСМФИ е необходимо посоченото разграничение да се </w:t>
      </w:r>
      <w:r w:rsidRPr="00EB588C">
        <w:rPr>
          <w:rFonts w:ascii="Times New Roman" w:eastAsiaTheme="minorEastAsia" w:hAnsi="Times New Roman" w:cs="Times New Roman"/>
          <w:bCs/>
          <w:iCs/>
          <w:sz w:val="24"/>
          <w:szCs w:val="24"/>
          <w:lang w:eastAsia="bg-BG"/>
        </w:rPr>
        <w:t xml:space="preserve">въведе и в ЗУТ, като се вземат предвид основните характеристики на различните видове строителни обекти, изграждани от телеком операторите. </w:t>
      </w:r>
      <w:r w:rsidRPr="00EB588C">
        <w:rPr>
          <w:rFonts w:ascii="Times New Roman" w:eastAsiaTheme="minorEastAsia" w:hAnsi="Times New Roman" w:cs="Times New Roman"/>
          <w:iCs/>
          <w:sz w:val="24"/>
          <w:szCs w:val="24"/>
          <w:lang w:eastAsia="bg-BG"/>
        </w:rPr>
        <w:t xml:space="preserve">В предложението ни различните видове строителни обекти, респ. дейности, следват различен режим. </w:t>
      </w:r>
    </w:p>
    <w:p w:rsidR="00EB588C" w:rsidRPr="00EB588C" w:rsidRDefault="00EB588C" w:rsidP="00EB588C">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val="bg" w:eastAsia="bg-BG"/>
        </w:rPr>
      </w:pPr>
      <w:r w:rsidRPr="00EB588C">
        <w:rPr>
          <w:rFonts w:ascii="Times New Roman" w:eastAsiaTheme="minorEastAsia" w:hAnsi="Times New Roman" w:cs="Times New Roman"/>
          <w:bCs/>
          <w:iCs/>
          <w:sz w:val="24"/>
          <w:szCs w:val="24"/>
          <w:lang w:eastAsia="bg-BG"/>
        </w:rPr>
        <w:t>На първо място,</w:t>
      </w:r>
      <w:r w:rsidRPr="00EB588C">
        <w:rPr>
          <w:rFonts w:ascii="Times New Roman" w:eastAsiaTheme="minorEastAsia" w:hAnsi="Times New Roman" w:cs="Times New Roman"/>
          <w:iCs/>
          <w:sz w:val="24"/>
          <w:szCs w:val="24"/>
          <w:lang w:eastAsia="bg-BG"/>
        </w:rPr>
        <w:t xml:space="preserve"> предложението за промяна в чл. 137, ал. 1, т. 3, б. „з“ ЗУТ отчита сложността и рисковете при въвеждане в експлоатация на </w:t>
      </w:r>
      <w:r w:rsidRPr="00EB588C">
        <w:rPr>
          <w:rFonts w:ascii="Times New Roman" w:eastAsiaTheme="minorEastAsia" w:hAnsi="Times New Roman" w:cs="Times New Roman"/>
          <w:bCs/>
          <w:iCs/>
          <w:sz w:val="24"/>
          <w:szCs w:val="24"/>
          <w:lang w:eastAsia="bg-BG"/>
        </w:rPr>
        <w:t xml:space="preserve">физическа инфраструктура, </w:t>
      </w:r>
      <w:r w:rsidRPr="00EB588C">
        <w:rPr>
          <w:rFonts w:ascii="Times New Roman" w:eastAsiaTheme="minorEastAsia" w:hAnsi="Times New Roman" w:cs="Times New Roman"/>
          <w:bCs/>
          <w:iCs/>
          <w:sz w:val="24"/>
          <w:szCs w:val="24"/>
          <w:lang w:val="bg" w:eastAsia="bg-BG"/>
        </w:rPr>
        <w:t xml:space="preserve">трайно прикрепенa към терена чрез бетонов фундамент, и предназначенa за разполагане на активно оборудване, в това число кули, мачти и др., наричани от операторите </w:t>
      </w:r>
      <w:r w:rsidRPr="00EB588C">
        <w:rPr>
          <w:rFonts w:ascii="Times New Roman" w:eastAsiaTheme="minorEastAsia" w:hAnsi="Times New Roman" w:cs="Times New Roman"/>
          <w:bCs/>
          <w:iCs/>
          <w:sz w:val="24"/>
          <w:szCs w:val="24"/>
          <w:lang w:val="en-US" w:eastAsia="bg-BG"/>
        </w:rPr>
        <w:t>greenfield</w:t>
      </w:r>
      <w:r w:rsidRPr="00EB588C">
        <w:rPr>
          <w:rFonts w:ascii="Times New Roman" w:eastAsiaTheme="minorEastAsia" w:hAnsi="Times New Roman" w:cs="Times New Roman"/>
          <w:bCs/>
          <w:iCs/>
          <w:sz w:val="24"/>
          <w:szCs w:val="24"/>
          <w:lang w:eastAsia="bg-BG"/>
        </w:rPr>
        <w:t xml:space="preserve"> и най-често ползвани вън от населените места, а в определени случаи и в тях</w:t>
      </w:r>
      <w:r w:rsidRPr="00EB588C">
        <w:rPr>
          <w:rFonts w:ascii="Times New Roman" w:eastAsiaTheme="minorEastAsia" w:hAnsi="Times New Roman" w:cs="Times New Roman"/>
          <w:iCs/>
          <w:sz w:val="24"/>
          <w:szCs w:val="24"/>
          <w:lang w:val="bg" w:eastAsia="bg-BG"/>
        </w:rPr>
        <w:t xml:space="preserve">. Ако при въвеждането им в експлоатация се монтира и активно оборудване, в съответствие с предвиденото по-долу в чл. 151, ал. 2 ЗУТ, то ще приеме по-високата, т.е. трета категория. За тези случаи практически не е налице промяна. Прецизирането е насочено към споменатото разграничение на активното от пасивното оборудване при изграждането на различни типове обекти.  </w:t>
      </w:r>
    </w:p>
    <w:p w:rsidR="00EB588C" w:rsidRPr="00EB588C" w:rsidRDefault="00EB588C" w:rsidP="00EB588C">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val="bg" w:eastAsia="bg-BG"/>
        </w:rPr>
      </w:pPr>
      <w:r w:rsidRPr="00EB588C">
        <w:rPr>
          <w:rFonts w:ascii="Times New Roman" w:eastAsiaTheme="minorEastAsia" w:hAnsi="Times New Roman" w:cs="Times New Roman"/>
          <w:bCs/>
          <w:iCs/>
          <w:sz w:val="24"/>
          <w:szCs w:val="24"/>
          <w:lang w:val="bg" w:eastAsia="bg-BG"/>
        </w:rPr>
        <w:t>Действителна промяна</w:t>
      </w:r>
      <w:r w:rsidRPr="00EB588C">
        <w:rPr>
          <w:rFonts w:ascii="Times New Roman" w:eastAsiaTheme="minorEastAsia" w:hAnsi="Times New Roman" w:cs="Times New Roman"/>
          <w:iCs/>
          <w:sz w:val="24"/>
          <w:szCs w:val="24"/>
          <w:lang w:val="bg" w:eastAsia="bg-BG"/>
        </w:rPr>
        <w:t xml:space="preserve"> е налице в чл. 137, ал. 1, т. 5, буква „д“ ЗУТ – тя касае въвеждането на по-ниска категория за останалите видове физическа инфраструктура, </w:t>
      </w:r>
      <w:r w:rsidRPr="00EB588C">
        <w:rPr>
          <w:rFonts w:ascii="Times New Roman" w:eastAsiaTheme="minorEastAsia" w:hAnsi="Times New Roman" w:cs="Times New Roman"/>
          <w:iCs/>
          <w:sz w:val="24"/>
          <w:szCs w:val="24"/>
          <w:lang w:val="bg" w:eastAsia="bg-BG"/>
        </w:rPr>
        <w:lastRenderedPageBreak/>
        <w:t>непосочени в чл. 137, ал. 1, т. 3, б. „з“, респ. т. 6 ЗУТ. Това обикновено е физическа инфраструктура за разполагане на приемно-предавателни станции (активно оборудване) върху покриви или фасади на сгради. Следва да се отбележи, че тук, за разлика от горната хипотеза, е налице въведена в експлоатация сграда или съоръжение, а физическата инфраструктура се монтира и разполага върху покрив или фасада, при което отново ще е налице строеж с всички приложими изисквания за съответната категория по чл. 137, ал. 1, т. 5 ЗУТ</w:t>
      </w:r>
      <w:r w:rsidRPr="00EB588C">
        <w:rPr>
          <w:rFonts w:ascii="Times New Roman" w:eastAsiaTheme="minorEastAsia" w:hAnsi="Times New Roman" w:cs="Times New Roman"/>
          <w:iCs/>
          <w:sz w:val="24"/>
          <w:szCs w:val="24"/>
          <w:lang w:eastAsia="bg-BG"/>
        </w:rPr>
        <w:t xml:space="preserve">. Ето защо контрол ще е налице, респ. не са налице по-големи рискове спрямо предходния режим. </w:t>
      </w:r>
      <w:r w:rsidRPr="00EB588C">
        <w:rPr>
          <w:rFonts w:ascii="Times New Roman" w:eastAsiaTheme="minorEastAsia" w:hAnsi="Times New Roman" w:cs="Times New Roman"/>
          <w:iCs/>
          <w:sz w:val="24"/>
          <w:szCs w:val="24"/>
          <w:lang w:val="bg" w:eastAsia="bg-BG"/>
        </w:rPr>
        <w:t xml:space="preserve">    </w:t>
      </w:r>
    </w:p>
    <w:p w:rsidR="00EB588C" w:rsidRPr="00EB588C" w:rsidRDefault="00EB588C" w:rsidP="00EB588C">
      <w:pPr>
        <w:autoSpaceDE w:val="0"/>
        <w:autoSpaceDN w:val="0"/>
        <w:adjustRightInd w:val="0"/>
        <w:spacing w:after="120" w:line="240" w:lineRule="auto"/>
        <w:ind w:firstLine="567"/>
        <w:jc w:val="both"/>
        <w:rPr>
          <w:rFonts w:ascii="Times New Roman" w:eastAsiaTheme="minorEastAsia" w:hAnsi="Times New Roman" w:cs="Times New Roman"/>
          <w:iCs/>
          <w:sz w:val="24"/>
          <w:szCs w:val="24"/>
          <w:lang w:eastAsia="bg-BG"/>
        </w:rPr>
      </w:pPr>
      <w:r w:rsidRPr="00EB588C">
        <w:rPr>
          <w:rFonts w:ascii="Times New Roman" w:eastAsiaTheme="minorEastAsia" w:hAnsi="Times New Roman" w:cs="Times New Roman"/>
          <w:iCs/>
          <w:sz w:val="24"/>
          <w:szCs w:val="24"/>
          <w:lang w:val="bg" w:eastAsia="bg-BG"/>
        </w:rPr>
        <w:t>Както и до момента</w:t>
      </w:r>
      <w:r w:rsidRPr="00EB588C">
        <w:rPr>
          <w:rFonts w:ascii="Times New Roman" w:eastAsiaTheme="minorEastAsia" w:hAnsi="Times New Roman" w:cs="Times New Roman"/>
          <w:bCs/>
          <w:iCs/>
          <w:sz w:val="24"/>
          <w:szCs w:val="24"/>
          <w:lang w:val="bg" w:eastAsia="bg-BG"/>
        </w:rPr>
        <w:t xml:space="preserve">, инсталационните дейности, които не </w:t>
      </w:r>
      <w:r w:rsidRPr="00EB588C">
        <w:rPr>
          <w:rFonts w:ascii="Times New Roman" w:eastAsiaTheme="minorEastAsia" w:hAnsi="Times New Roman" w:cs="Times New Roman"/>
          <w:bCs/>
          <w:iCs/>
          <w:sz w:val="24"/>
          <w:szCs w:val="24"/>
          <w:lang w:eastAsia="bg-BG"/>
        </w:rPr>
        <w:t xml:space="preserve">оказват въздействие върху основните характеристики на сградите като конструкция, товароносимост и други характеристики, са предмет на облекчения режим, като последните не представляват строеж по смисъла на ЗУТ. </w:t>
      </w:r>
      <w:r w:rsidRPr="00EB588C">
        <w:rPr>
          <w:rFonts w:ascii="Times New Roman" w:eastAsiaTheme="minorEastAsia" w:hAnsi="Times New Roman" w:cs="Times New Roman"/>
          <w:iCs/>
          <w:sz w:val="24"/>
          <w:szCs w:val="24"/>
          <w:lang w:eastAsia="bg-BG"/>
        </w:rPr>
        <w:t xml:space="preserve">Това обикновено са дейности, насочени към разполагане на активно оборудване. </w:t>
      </w:r>
    </w:p>
    <w:p w:rsidR="00E033DA" w:rsidRPr="00E033DA" w:rsidRDefault="00C62D14"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Pr>
          <w:rFonts w:ascii="Times New Roman" w:eastAsiaTheme="minorEastAsia" w:hAnsi="Times New Roman" w:cs="Times New Roman"/>
          <w:sz w:val="24"/>
          <w:szCs w:val="24"/>
          <w:lang w:eastAsia="bg-BG"/>
        </w:rPr>
        <w:t>Предлаганите и</w:t>
      </w:r>
      <w:r w:rsidR="00E033DA" w:rsidRPr="00E033DA">
        <w:rPr>
          <w:rFonts w:ascii="Times New Roman" w:eastAsiaTheme="minorEastAsia" w:hAnsi="Times New Roman" w:cs="Times New Roman"/>
          <w:sz w:val="24"/>
          <w:szCs w:val="24"/>
          <w:lang w:eastAsia="bg-BG"/>
        </w:rPr>
        <w:t xml:space="preserve">зменения и допълнения в чл. 33, ал. 6 и 7 от ЗЕС и чл. 151, ал. 4 (нова ал. 5) и ал. 8 и 9 (нови ал. 9 и 10) от ЗУТ са с оглед на приетите </w:t>
      </w:r>
      <w:r w:rsidRPr="00E033DA">
        <w:rPr>
          <w:rFonts w:ascii="Times New Roman" w:eastAsiaTheme="minorEastAsia" w:hAnsi="Times New Roman" w:cs="Times New Roman"/>
          <w:sz w:val="24"/>
          <w:szCs w:val="24"/>
          <w:lang w:eastAsia="bg-BG"/>
        </w:rPr>
        <w:t xml:space="preserve">междувременно </w:t>
      </w:r>
      <w:r w:rsidR="00E033DA" w:rsidRPr="00E033DA">
        <w:rPr>
          <w:rFonts w:ascii="Times New Roman" w:eastAsiaTheme="minorEastAsia" w:hAnsi="Times New Roman" w:cs="Times New Roman"/>
          <w:sz w:val="24"/>
          <w:szCs w:val="24"/>
          <w:lang w:eastAsia="bg-BG"/>
        </w:rPr>
        <w:t xml:space="preserve">изменения и допълнения на ЗЕС (ДВ., бр. 58 от 2023 г.). Допълнително са отчетени разпоредбите на </w:t>
      </w:r>
      <w:r w:rsidR="00E033DA" w:rsidRPr="00E033DA">
        <w:rPr>
          <w:rFonts w:ascii="Times New Roman" w:eastAsia="Verdana" w:hAnsi="Times New Roman" w:cs="Times New Roman"/>
          <w:sz w:val="24"/>
          <w:szCs w:val="24"/>
          <w:lang w:val="bg" w:eastAsia="bg-BG"/>
        </w:rPr>
        <w:t xml:space="preserve">Закона за здравето и подзаконовите нормативни актове по неговото прилагане, </w:t>
      </w:r>
      <w:r w:rsidR="00E033DA" w:rsidRPr="00E033DA">
        <w:rPr>
          <w:rFonts w:ascii="Times New Roman" w:eastAsia="Verdana" w:hAnsi="Times New Roman" w:cs="Times New Roman"/>
          <w:sz w:val="24"/>
          <w:szCs w:val="24"/>
          <w:lang w:eastAsia="bg-BG"/>
        </w:rPr>
        <w:t xml:space="preserve">съгласно които </w:t>
      </w:r>
      <w:r w:rsidR="00E033DA" w:rsidRPr="00E033DA">
        <w:rPr>
          <w:rFonts w:ascii="Times New Roman" w:eastAsia="Verdana" w:hAnsi="Times New Roman" w:cs="Times New Roman"/>
          <w:sz w:val="24"/>
          <w:szCs w:val="24"/>
          <w:lang w:val="bg" w:eastAsia="bg-BG"/>
        </w:rPr>
        <w:t xml:space="preserve">операторите на електронни съобщителни мрежи извършват само уведомяване на органите на държавния здравен контрол, т.е. не се прави формална регистрация пред последните. Липсата на формална регистрация пред органите на държавния здравен контрол de facto </w:t>
      </w:r>
      <w:r w:rsidR="00E033DA" w:rsidRPr="00E033DA">
        <w:rPr>
          <w:rFonts w:ascii="Times New Roman" w:eastAsia="Verdana" w:hAnsi="Times New Roman" w:cs="Times New Roman"/>
          <w:sz w:val="24"/>
          <w:szCs w:val="24"/>
          <w:lang w:eastAsia="bg-BG"/>
        </w:rPr>
        <w:t xml:space="preserve">би блокирало </w:t>
      </w:r>
      <w:r w:rsidR="00E033DA" w:rsidRPr="00E033DA">
        <w:rPr>
          <w:rFonts w:ascii="Times New Roman" w:eastAsia="Verdana" w:hAnsi="Times New Roman" w:cs="Times New Roman"/>
          <w:sz w:val="24"/>
          <w:szCs w:val="24"/>
          <w:lang w:val="bg" w:eastAsia="bg-BG"/>
        </w:rPr>
        <w:t>самата процедурата по чл. 151, ал. 4-9 от ЗУТ.</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Theme="minorEastAsia" w:hAnsi="Times New Roman" w:cs="Times New Roman"/>
          <w:sz w:val="24"/>
          <w:szCs w:val="24"/>
          <w:lang w:eastAsia="bg-BG"/>
        </w:rPr>
        <w:t xml:space="preserve">Отпадането на </w:t>
      </w:r>
      <w:r w:rsidRPr="00E033DA">
        <w:rPr>
          <w:rFonts w:ascii="Times New Roman" w:eastAsia="Verdana" w:hAnsi="Times New Roman" w:cs="Times New Roman"/>
          <w:sz w:val="24"/>
          <w:szCs w:val="24"/>
          <w:lang w:eastAsia="bg-BG"/>
        </w:rPr>
        <w:t>с</w:t>
      </w:r>
      <w:r w:rsidRPr="00E033DA">
        <w:rPr>
          <w:rFonts w:ascii="Times New Roman" w:eastAsia="Verdana" w:hAnsi="Times New Roman" w:cs="Times New Roman"/>
          <w:sz w:val="24"/>
          <w:szCs w:val="24"/>
          <w:lang w:val="bg" w:eastAsia="bg-BG"/>
        </w:rPr>
        <w:t xml:space="preserve">лужебното уведомяване от КРС на кметовете на съответните общини и районните здравни инспекции за регистрацията по чл. 33, ал. 7 е </w:t>
      </w:r>
      <w:r w:rsidRPr="00E033DA">
        <w:rPr>
          <w:rFonts w:ascii="Times New Roman" w:eastAsia="Verdana" w:hAnsi="Times New Roman" w:cs="Times New Roman"/>
          <w:sz w:val="24"/>
          <w:szCs w:val="24"/>
          <w:lang w:eastAsia="bg-BG"/>
        </w:rPr>
        <w:t xml:space="preserve">направено, предвид обстоятелството, че </w:t>
      </w:r>
      <w:r w:rsidRPr="00E033DA">
        <w:rPr>
          <w:rFonts w:ascii="Times New Roman" w:eastAsia="Verdana" w:hAnsi="Times New Roman" w:cs="Times New Roman"/>
          <w:sz w:val="24"/>
          <w:szCs w:val="24"/>
          <w:lang w:val="bg" w:eastAsia="bg-BG"/>
        </w:rPr>
        <w:t xml:space="preserve">на практика </w:t>
      </w:r>
      <w:r w:rsidRPr="00E033DA">
        <w:rPr>
          <w:rFonts w:ascii="Times New Roman" w:eastAsia="Verdana" w:hAnsi="Times New Roman" w:cs="Times New Roman"/>
          <w:sz w:val="24"/>
          <w:szCs w:val="24"/>
          <w:lang w:eastAsia="bg-BG"/>
        </w:rPr>
        <w:t xml:space="preserve">би могло да доведе </w:t>
      </w:r>
      <w:r w:rsidRPr="00E033DA">
        <w:rPr>
          <w:rFonts w:ascii="Times New Roman" w:eastAsia="Verdana" w:hAnsi="Times New Roman" w:cs="Times New Roman"/>
          <w:sz w:val="24"/>
          <w:szCs w:val="24"/>
          <w:lang w:val="bg" w:eastAsia="bg-BG"/>
        </w:rPr>
        <w:t>до забавяне на завършването на новата процедура за регистрация пред Комисията. По отношение на приемно-предавателните станции към момента на регистрацията в новия регистър на КРС кметовете на съответните общини и районните здравни инспекции вече ще са упражнили правомощия</w:t>
      </w:r>
      <w:r w:rsidR="001B2DF8">
        <w:rPr>
          <w:rFonts w:ascii="Times New Roman" w:eastAsia="Verdana" w:hAnsi="Times New Roman" w:cs="Times New Roman"/>
          <w:sz w:val="24"/>
          <w:szCs w:val="24"/>
          <w:lang w:val="bg" w:eastAsia="bg-BG"/>
        </w:rPr>
        <w:t>та си</w:t>
      </w:r>
      <w:r w:rsidRPr="00E033DA">
        <w:rPr>
          <w:rFonts w:ascii="Times New Roman" w:eastAsia="Verdana" w:hAnsi="Times New Roman" w:cs="Times New Roman"/>
          <w:sz w:val="24"/>
          <w:szCs w:val="24"/>
          <w:lang w:val="bg" w:eastAsia="bg-BG"/>
        </w:rPr>
        <w:t xml:space="preserve"> в </w:t>
      </w:r>
      <w:r w:rsidR="001B2DF8">
        <w:rPr>
          <w:rFonts w:ascii="Times New Roman" w:eastAsia="Verdana" w:hAnsi="Times New Roman" w:cs="Times New Roman"/>
          <w:sz w:val="24"/>
          <w:szCs w:val="24"/>
          <w:lang w:val="bg" w:eastAsia="bg-BG"/>
        </w:rPr>
        <w:t>процедурата по ЗУТ, свързана с разрешаване на строителството</w:t>
      </w:r>
      <w:r w:rsidRPr="00E033DA">
        <w:rPr>
          <w:rFonts w:ascii="Times New Roman" w:eastAsia="Verdana" w:hAnsi="Times New Roman" w:cs="Times New Roman"/>
          <w:sz w:val="24"/>
          <w:szCs w:val="24"/>
          <w:lang w:val="bg" w:eastAsia="bg-BG"/>
        </w:rPr>
        <w:t xml:space="preserve">. </w:t>
      </w:r>
      <w:r w:rsidR="001B2DF8">
        <w:rPr>
          <w:rFonts w:ascii="Times New Roman" w:eastAsia="Verdana" w:hAnsi="Times New Roman" w:cs="Times New Roman"/>
          <w:sz w:val="24"/>
          <w:szCs w:val="24"/>
          <w:lang w:val="bg" w:eastAsia="bg-BG"/>
        </w:rPr>
        <w:t>П</w:t>
      </w:r>
      <w:r w:rsidRPr="00E033DA">
        <w:rPr>
          <w:rFonts w:ascii="Times New Roman" w:eastAsia="Verdana" w:hAnsi="Times New Roman" w:cs="Times New Roman"/>
          <w:sz w:val="24"/>
          <w:szCs w:val="24"/>
          <w:lang w:val="bg" w:eastAsia="bg-BG"/>
        </w:rPr>
        <w:t xml:space="preserve">осочените органи така или иначе ще бъдат уведомени от съответния оператор на електронна съобщителна мрежа </w:t>
      </w:r>
      <w:r w:rsidR="001B2DF8">
        <w:rPr>
          <w:rFonts w:ascii="Times New Roman" w:eastAsia="Verdana" w:hAnsi="Times New Roman" w:cs="Times New Roman"/>
          <w:sz w:val="24"/>
          <w:szCs w:val="24"/>
          <w:lang w:val="bg" w:eastAsia="bg-BG"/>
        </w:rPr>
        <w:t>о</w:t>
      </w:r>
      <w:r w:rsidR="001B2DF8" w:rsidRPr="00E033DA">
        <w:rPr>
          <w:rFonts w:ascii="Times New Roman" w:eastAsia="Verdana" w:hAnsi="Times New Roman" w:cs="Times New Roman"/>
          <w:sz w:val="24"/>
          <w:szCs w:val="24"/>
          <w:lang w:val="bg" w:eastAsia="bg-BG"/>
        </w:rPr>
        <w:t xml:space="preserve">тносно дейностите по чл. 151, ал. 1, т. 16 от ЗУТ </w:t>
      </w:r>
      <w:r w:rsidRPr="00E033DA">
        <w:rPr>
          <w:rFonts w:ascii="Times New Roman" w:eastAsia="Verdana" w:hAnsi="Times New Roman" w:cs="Times New Roman"/>
          <w:sz w:val="24"/>
          <w:szCs w:val="24"/>
          <w:lang w:val="bg" w:eastAsia="bg-BG"/>
        </w:rPr>
        <w:t xml:space="preserve">в изпълнение на </w:t>
      </w:r>
      <w:r w:rsidR="001B2DF8">
        <w:rPr>
          <w:rFonts w:ascii="Times New Roman" w:eastAsia="Verdana" w:hAnsi="Times New Roman" w:cs="Times New Roman"/>
          <w:sz w:val="24"/>
          <w:szCs w:val="24"/>
          <w:lang w:val="bg" w:eastAsia="bg-BG"/>
        </w:rPr>
        <w:t>задължението на оператора</w:t>
      </w:r>
      <w:r w:rsidRPr="00E033DA">
        <w:rPr>
          <w:rFonts w:ascii="Times New Roman" w:eastAsia="Verdana" w:hAnsi="Times New Roman" w:cs="Times New Roman"/>
          <w:sz w:val="24"/>
          <w:szCs w:val="24"/>
          <w:lang w:val="bg" w:eastAsia="bg-BG"/>
        </w:rPr>
        <w:t xml:space="preserve"> по чл. 151, ал. 9 от ЗУТ</w:t>
      </w:r>
      <w:r w:rsidRPr="00E033DA">
        <w:rPr>
          <w:rFonts w:ascii="Times New Roman" w:eastAsia="Verdana" w:hAnsi="Times New Roman" w:cs="Times New Roman"/>
          <w:sz w:val="24"/>
          <w:szCs w:val="24"/>
          <w:lang w:eastAsia="bg-BG"/>
        </w:rPr>
        <w:t xml:space="preserve"> (нова ал. 10)</w:t>
      </w:r>
      <w:r w:rsidRPr="00E033DA">
        <w:rPr>
          <w:rFonts w:ascii="Times New Roman" w:eastAsia="Verdana" w:hAnsi="Times New Roman" w:cs="Times New Roman"/>
          <w:sz w:val="24"/>
          <w:szCs w:val="24"/>
          <w:lang w:val="bg" w:eastAsia="bg-BG"/>
        </w:rPr>
        <w:t>.</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Theme="minorEastAsia" w:hAnsi="Times New Roman" w:cs="Times New Roman"/>
          <w:sz w:val="24"/>
          <w:szCs w:val="24"/>
          <w:lang w:eastAsia="bg-BG"/>
        </w:rPr>
        <w:t xml:space="preserve">Измененията относно </w:t>
      </w:r>
      <w:r w:rsidRPr="00E033DA">
        <w:rPr>
          <w:rFonts w:ascii="Times New Roman" w:eastAsia="Verdana" w:hAnsi="Times New Roman" w:cs="Times New Roman"/>
          <w:sz w:val="24"/>
          <w:szCs w:val="24"/>
          <w:lang w:eastAsia="bg-BG"/>
        </w:rPr>
        <w:t>т</w:t>
      </w:r>
      <w:r w:rsidRPr="00E033DA">
        <w:rPr>
          <w:rFonts w:ascii="Times New Roman" w:eastAsia="Verdana" w:hAnsi="Times New Roman" w:cs="Times New Roman"/>
          <w:sz w:val="24"/>
          <w:szCs w:val="24"/>
          <w:lang w:val="bg" w:eastAsia="bg-BG"/>
        </w:rPr>
        <w:t>ермин</w:t>
      </w:r>
      <w:r w:rsidRPr="00E033DA">
        <w:rPr>
          <w:rFonts w:ascii="Times New Roman" w:eastAsia="Verdana" w:hAnsi="Times New Roman" w:cs="Times New Roman"/>
          <w:sz w:val="24"/>
          <w:szCs w:val="24"/>
          <w:lang w:eastAsia="bg-BG"/>
        </w:rPr>
        <w:t>а</w:t>
      </w:r>
      <w:r w:rsidRPr="00E033DA">
        <w:rPr>
          <w:rFonts w:ascii="Times New Roman" w:eastAsia="Verdana" w:hAnsi="Times New Roman" w:cs="Times New Roman"/>
          <w:sz w:val="24"/>
          <w:szCs w:val="24"/>
          <w:lang w:val="bg" w:eastAsia="bg-BG"/>
        </w:rPr>
        <w:t xml:space="preserve"> „проектно решение“ по чл. 151, ал. 4, т. 1 и 2 от ЗУТ, </w:t>
      </w:r>
      <w:r w:rsidRPr="00474EC6">
        <w:rPr>
          <w:rFonts w:ascii="Times New Roman" w:eastAsia="Verdana" w:hAnsi="Times New Roman" w:cs="Times New Roman"/>
          <w:sz w:val="24"/>
          <w:szCs w:val="24"/>
          <w:lang w:val="bg" w:eastAsia="bg-BG"/>
        </w:rPr>
        <w:t>респ. законовото определение за него,</w:t>
      </w:r>
      <w:r w:rsidRPr="00E033DA">
        <w:rPr>
          <w:rFonts w:ascii="Times New Roman" w:eastAsia="Verdana" w:hAnsi="Times New Roman" w:cs="Times New Roman"/>
          <w:sz w:val="24"/>
          <w:szCs w:val="24"/>
          <w:lang w:val="bg" w:eastAsia="bg-BG"/>
        </w:rPr>
        <w:t xml:space="preserve"> </w:t>
      </w:r>
      <w:r w:rsidR="00474EC6">
        <w:rPr>
          <w:rFonts w:ascii="Times New Roman" w:eastAsia="Verdana" w:hAnsi="Times New Roman" w:cs="Times New Roman"/>
          <w:sz w:val="24"/>
          <w:szCs w:val="24"/>
          <w:lang w:val="bg" w:eastAsia="bg-BG"/>
        </w:rPr>
        <w:t xml:space="preserve">което в момента е предложено, </w:t>
      </w:r>
      <w:r w:rsidRPr="00E033DA">
        <w:rPr>
          <w:rFonts w:ascii="Times New Roman" w:eastAsia="Verdana" w:hAnsi="Times New Roman" w:cs="Times New Roman"/>
          <w:sz w:val="24"/>
          <w:szCs w:val="24"/>
          <w:lang w:eastAsia="bg-BG"/>
        </w:rPr>
        <w:t xml:space="preserve">са с цел </w:t>
      </w:r>
      <w:r w:rsidRPr="00E033DA">
        <w:rPr>
          <w:rFonts w:ascii="Times New Roman" w:eastAsia="Verdana" w:hAnsi="Times New Roman" w:cs="Times New Roman"/>
          <w:sz w:val="24"/>
          <w:szCs w:val="24"/>
          <w:lang w:val="bg" w:eastAsia="bg-BG"/>
        </w:rPr>
        <w:t>прилага</w:t>
      </w:r>
      <w:r w:rsidRPr="00E033DA">
        <w:rPr>
          <w:rFonts w:ascii="Times New Roman" w:eastAsia="Verdana" w:hAnsi="Times New Roman" w:cs="Times New Roman"/>
          <w:sz w:val="24"/>
          <w:szCs w:val="24"/>
          <w:lang w:eastAsia="bg-BG"/>
        </w:rPr>
        <w:t>нето му</w:t>
      </w:r>
      <w:r w:rsidRPr="00E033DA">
        <w:rPr>
          <w:rFonts w:ascii="Times New Roman" w:eastAsia="Verdana" w:hAnsi="Times New Roman" w:cs="Times New Roman"/>
          <w:sz w:val="24"/>
          <w:szCs w:val="24"/>
          <w:lang w:val="bg" w:eastAsia="bg-BG"/>
        </w:rPr>
        <w:t xml:space="preserve"> само за случаите по чл. 151, ал. 1, т. 19 – изграждане, основен ремонт и подмяна на инсталации за производство на електрическа енергия, топлинна енергия и/или енергия за охлаждане от възобновяеми източници към съществуващите еднофамилни жилищни и вилни сгради и в прилежащите им поземлени имоти, енергията от които ще се използва само за собствено потребление, ако общата им инсталирана мощност не надхвърля до 20 kW.</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По този начин двата режима </w:t>
      </w:r>
      <w:r w:rsidRPr="00E033DA">
        <w:rPr>
          <w:rFonts w:ascii="Times New Roman" w:eastAsia="Verdana" w:hAnsi="Times New Roman" w:cs="Times New Roman"/>
          <w:sz w:val="24"/>
          <w:szCs w:val="24"/>
          <w:lang w:eastAsia="bg-BG"/>
        </w:rPr>
        <w:t xml:space="preserve">(по чл. 151, ал. 1, т. 16 и по т. 19) </w:t>
      </w:r>
      <w:r w:rsidRPr="00E033DA">
        <w:rPr>
          <w:rFonts w:ascii="Times New Roman" w:eastAsia="Verdana" w:hAnsi="Times New Roman" w:cs="Times New Roman"/>
          <w:sz w:val="24"/>
          <w:szCs w:val="24"/>
          <w:lang w:val="bg" w:eastAsia="bg-BG"/>
        </w:rPr>
        <w:t>ще бъдат легално диференцирани, като същевременно бъдат правилно отчитани качествените разлики между двете напълно различни категории дейности.</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eastAsia="bg-BG"/>
        </w:rPr>
        <w:t>Наред с това</w:t>
      </w:r>
      <w:r w:rsidRPr="00E033DA">
        <w:rPr>
          <w:rFonts w:ascii="Times New Roman" w:eastAsia="Verdana" w:hAnsi="Times New Roman" w:cs="Times New Roman"/>
          <w:sz w:val="24"/>
          <w:szCs w:val="24"/>
          <w:lang w:val="bg" w:eastAsia="bg-BG"/>
        </w:rPr>
        <w:t>, т. нар. „</w:t>
      </w:r>
      <w:r w:rsidRPr="00E033DA">
        <w:rPr>
          <w:rFonts w:ascii="Times New Roman" w:eastAsia="Verdana" w:hAnsi="Times New Roman" w:cs="Times New Roman"/>
          <w:sz w:val="24"/>
          <w:szCs w:val="24"/>
          <w:lang w:eastAsia="bg-BG"/>
        </w:rPr>
        <w:t>облекчен</w:t>
      </w:r>
      <w:r w:rsidRPr="00E033DA">
        <w:rPr>
          <w:rFonts w:ascii="Times New Roman" w:eastAsia="Verdana" w:hAnsi="Times New Roman" w:cs="Times New Roman"/>
          <w:sz w:val="24"/>
          <w:szCs w:val="24"/>
          <w:lang w:val="bg" w:eastAsia="bg-BG"/>
        </w:rPr>
        <w:t xml:space="preserve">“ режим за дейностите по поддръжка, дооборудване и/или подобряване на елементи на приемно-предавателни станции по чл. 151, ал. 1, т. 16 беше въведен от законодателя с нарочно изменение на ЗУТ през 2019 г. и с цел насърчаване разгръщането на електронни съобщителни мрежи от пето поколение (New radio). Ефективното разгръщане на мрежи от пето поколение e на практика възможно </w:t>
      </w:r>
      <w:r w:rsidRPr="00E033DA">
        <w:rPr>
          <w:rFonts w:ascii="Times New Roman" w:eastAsia="Verdana" w:hAnsi="Times New Roman" w:cs="Times New Roman"/>
          <w:sz w:val="24"/>
          <w:szCs w:val="24"/>
          <w:lang w:val="bg" w:eastAsia="bg-BG"/>
        </w:rPr>
        <w:lastRenderedPageBreak/>
        <w:t>само след въвеждането на реално приложими законодателни режими, вкл. облекчени административни процедури за разполагане на елементи на 5G мрежи</w:t>
      </w:r>
      <w:r w:rsidRPr="00E033DA">
        <w:rPr>
          <w:rFonts w:ascii="Times New Roman" w:eastAsia="Verdana" w:hAnsi="Times New Roman" w:cs="Times New Roman"/>
          <w:sz w:val="24"/>
          <w:szCs w:val="24"/>
          <w:lang w:eastAsia="bg-BG"/>
        </w:rPr>
        <w:t>, вкл. отпадане на</w:t>
      </w:r>
      <w:r w:rsidRPr="00E033DA">
        <w:rPr>
          <w:rFonts w:ascii="Times New Roman" w:eastAsia="Verdana" w:hAnsi="Times New Roman" w:cs="Times New Roman"/>
          <w:sz w:val="24"/>
          <w:szCs w:val="24"/>
          <w:lang w:val="bg" w:eastAsia="bg-BG"/>
        </w:rPr>
        <w:t xml:space="preserve"> допълнителна</w:t>
      </w:r>
      <w:r w:rsidRPr="00E033DA">
        <w:rPr>
          <w:rFonts w:ascii="Times New Roman" w:eastAsia="Verdana" w:hAnsi="Times New Roman" w:cs="Times New Roman"/>
          <w:sz w:val="24"/>
          <w:szCs w:val="24"/>
          <w:lang w:eastAsia="bg-BG"/>
        </w:rPr>
        <w:t>та</w:t>
      </w:r>
      <w:r w:rsidRPr="00E033DA">
        <w:rPr>
          <w:rFonts w:ascii="Times New Roman" w:eastAsia="Verdana" w:hAnsi="Times New Roman" w:cs="Times New Roman"/>
          <w:sz w:val="24"/>
          <w:szCs w:val="24"/>
          <w:lang w:val="bg" w:eastAsia="bg-BG"/>
        </w:rPr>
        <w:t xml:space="preserve"> административна тежест за операторите на електронни съобщителни мрежи </w:t>
      </w:r>
      <w:r w:rsidRPr="00E033DA">
        <w:rPr>
          <w:rFonts w:ascii="Times New Roman" w:eastAsia="Verdana" w:hAnsi="Times New Roman" w:cs="Times New Roman"/>
          <w:sz w:val="24"/>
          <w:szCs w:val="24"/>
          <w:lang w:eastAsia="bg-BG"/>
        </w:rPr>
        <w:t xml:space="preserve">за </w:t>
      </w:r>
      <w:r w:rsidRPr="00E033DA">
        <w:rPr>
          <w:rFonts w:ascii="Times New Roman" w:eastAsia="Verdana" w:hAnsi="Times New Roman" w:cs="Times New Roman"/>
          <w:sz w:val="24"/>
          <w:szCs w:val="24"/>
          <w:lang w:val="bg" w:eastAsia="bg-BG"/>
        </w:rPr>
        <w:t>изготвянето и прилагането на проектни решения и за дейностите по чл. 151, ал. 1, т. 16 от ЗУТ.</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На последно място, следва да бъде подчертано, че въвеждането на режима по чл. 151, ал. 1, т. 16 от ЗУТ, вкл. на становищата на инженер-конструктор и на инженер с професионална квалификация в областта на съобщенията по чл. 151, ал. 4, т. 1 и 2 от закона, а не на квалифицираните проектни решения вместо последните, вече е официално представено пред Европейската комисия от Република България като реформа № 140 – „C7.R3: Създаване на благоприятна инвестиционна среда” от Националния план за възстановяване и устойчивост (влизане в сила на законодателни промени във връзка с П-18 „Цифрова свързаност”).</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val="bg" w:eastAsia="bg-BG"/>
        </w:rPr>
        <w:t xml:space="preserve">Изискването за предварително предоставяне от КРС на документ, удостоверяващ одобрението на дейностите по чл. 151, ал. 1, т. 16 </w:t>
      </w:r>
      <w:r w:rsidRPr="00E033DA">
        <w:rPr>
          <w:rFonts w:ascii="Times New Roman" w:eastAsia="Verdana" w:hAnsi="Times New Roman" w:cs="Times New Roman"/>
          <w:sz w:val="24"/>
          <w:szCs w:val="24"/>
          <w:lang w:eastAsia="bg-BG"/>
        </w:rPr>
        <w:t xml:space="preserve">следва да отпадне, тъй като би могло да доведе </w:t>
      </w:r>
      <w:r w:rsidRPr="00E033DA">
        <w:rPr>
          <w:rFonts w:ascii="Times New Roman" w:eastAsia="Verdana" w:hAnsi="Times New Roman" w:cs="Times New Roman"/>
          <w:sz w:val="24"/>
          <w:szCs w:val="24"/>
          <w:lang w:val="bg" w:eastAsia="bg-BG"/>
        </w:rPr>
        <w:t>до забавяне на практическото прилагане на процедурата по чл. 151, ал. 4-9 от ЗУТ. КРС като специализиран независим държавен орган, осъществяващ функциите по регулиране и контрол при осъществяването на електронните съобщения няма законови правомощия в строителния процес, съответно в процеса по извършване на дейностите по чл. 151, ал. 1, т. 16 от ЗУТ. Посочената законова разпоредба е именно в ЗУТ, а не в ЗЕС, per se касае строителния процес, а не предоставянето на електронни съобщителни мрежи и услуги, които Комисията като секторен орган регулира. От гледна точка на ЗЕС, съответно компетенциите на КРС, дейностите по поддръжка, дооборудване и/или подобряване на елементи на приемно-предавателни станции се извършват въз основа на вече издадени именно от КРС разрешения за ползване на честотен спектър и на вече регистрирани от страна на операторите в КРС мрежи/технологии.</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r w:rsidRPr="00E033DA">
        <w:rPr>
          <w:rFonts w:ascii="Times New Roman" w:eastAsia="Verdana" w:hAnsi="Times New Roman" w:cs="Times New Roman"/>
          <w:sz w:val="24"/>
          <w:szCs w:val="24"/>
          <w:lang w:eastAsia="bg-BG"/>
        </w:rPr>
        <w:t xml:space="preserve">Същевременно КРС </w:t>
      </w:r>
      <w:r w:rsidRPr="00E033DA">
        <w:rPr>
          <w:rFonts w:ascii="Times New Roman" w:eastAsia="Verdana" w:hAnsi="Times New Roman" w:cs="Times New Roman"/>
          <w:sz w:val="24"/>
          <w:szCs w:val="24"/>
          <w:lang w:val="bg" w:eastAsia="bg-BG"/>
        </w:rPr>
        <w:t>може да осъществява последващ контрол, тъй като операторите на електронни съобщителни мрежи регистрират посочените дейностите по поддръжка, дооборудване и/или подобряване на елементи на приемно-предавателни станции по чл. 151, ал. 1, т. 16 именно пред самата КРС. Нещо повече, посоченото законово задължение на мрежовите оператори е предвидено в две отделни законови разпоредби – не само ЗУТ (чл. 151, ал. 9</w:t>
      </w:r>
      <w:r w:rsidRPr="00E033DA">
        <w:rPr>
          <w:rFonts w:ascii="Times New Roman" w:eastAsia="Verdana" w:hAnsi="Times New Roman" w:cs="Times New Roman"/>
          <w:sz w:val="24"/>
          <w:szCs w:val="24"/>
          <w:lang w:eastAsia="bg-BG"/>
        </w:rPr>
        <w:t xml:space="preserve"> (нова ал. 10</w:t>
      </w:r>
      <w:r w:rsidRPr="00E033DA">
        <w:rPr>
          <w:rFonts w:ascii="Times New Roman" w:eastAsia="Verdana" w:hAnsi="Times New Roman" w:cs="Times New Roman"/>
          <w:sz w:val="24"/>
          <w:szCs w:val="24"/>
          <w:lang w:val="bg" w:eastAsia="bg-BG"/>
        </w:rPr>
        <w:t>), но и в секторния ЗЕС (чл. 33, ал. 7).</w:t>
      </w:r>
    </w:p>
    <w:p w:rsidR="00E033DA" w:rsidRPr="00E033DA" w:rsidRDefault="00E033DA" w:rsidP="00474EC6">
      <w:pPr>
        <w:autoSpaceDE w:val="0"/>
        <w:autoSpaceDN w:val="0"/>
        <w:adjustRightInd w:val="0"/>
        <w:spacing w:after="120" w:line="240" w:lineRule="auto"/>
        <w:ind w:firstLine="567"/>
        <w:jc w:val="both"/>
        <w:rPr>
          <w:rFonts w:ascii="Times New Roman" w:eastAsia="Verdana" w:hAnsi="Times New Roman" w:cs="Times New Roman"/>
          <w:sz w:val="24"/>
          <w:szCs w:val="24"/>
          <w:lang w:val="bg" w:eastAsia="bg-BG"/>
        </w:rPr>
      </w:pPr>
    </w:p>
    <w:p w:rsidR="000145F6" w:rsidRPr="00E033DA" w:rsidRDefault="000145F6" w:rsidP="00474EC6">
      <w:pPr>
        <w:spacing w:after="120"/>
        <w:rPr>
          <w:rFonts w:ascii="Times New Roman" w:hAnsi="Times New Roman" w:cs="Times New Roman"/>
          <w:sz w:val="24"/>
          <w:szCs w:val="24"/>
        </w:rPr>
      </w:pPr>
    </w:p>
    <w:sectPr w:rsidR="000145F6" w:rsidRPr="00E033DA">
      <w:headerReference w:type="even" r:id="rId8"/>
      <w:headerReference w:type="default" r:id="rId9"/>
      <w:headerReference w:type="first" r:id="rId10"/>
      <w:pgSz w:w="11906" w:h="16838"/>
      <w:pgMar w:top="1417" w:right="1417" w:bottom="1417" w:left="1417" w:header="708" w:footer="708"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808027" w16cex:dateUtc="2023-08-11T06:38:00Z"/>
  <w16cex:commentExtensible w16cex:durableId="28808148" w16cex:dateUtc="2023-08-11T06:43:00Z"/>
  <w16cex:commentExtensible w16cex:durableId="288081DB" w16cex:dateUtc="2023-08-11T06:46:00Z"/>
  <w16cex:commentExtensible w16cex:durableId="28808255" w16cex:dateUtc="2023-08-11T06: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E19D07" w16cid:durableId="28808027"/>
  <w16cid:commentId w16cid:paraId="0C67F506" w16cid:durableId="2880798B"/>
  <w16cid:commentId w16cid:paraId="0B2FB1A9" w16cid:durableId="2880798C"/>
  <w16cid:commentId w16cid:paraId="3204970D" w16cid:durableId="28808148"/>
  <w16cid:commentId w16cid:paraId="3FBF6900" w16cid:durableId="2880798D"/>
  <w16cid:commentId w16cid:paraId="2D2BFF37" w16cid:durableId="2880798E"/>
  <w16cid:commentId w16cid:paraId="2039FD2D" w16cid:durableId="288081DB"/>
  <w16cid:commentId w16cid:paraId="0BEAAF22" w16cid:durableId="2880798F"/>
  <w16cid:commentId w16cid:paraId="39FA4FB2" w16cid:durableId="28808255"/>
  <w16cid:commentId w16cid:paraId="454D7023" w16cid:durableId="2880799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228" w:rsidRDefault="00CC6228" w:rsidP="00E033DA">
      <w:pPr>
        <w:spacing w:after="0" w:line="240" w:lineRule="auto"/>
      </w:pPr>
      <w:r>
        <w:separator/>
      </w:r>
    </w:p>
  </w:endnote>
  <w:endnote w:type="continuationSeparator" w:id="0">
    <w:p w:rsidR="00CC6228" w:rsidRDefault="00CC6228" w:rsidP="00E03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228" w:rsidRDefault="00CC6228" w:rsidP="00E033DA">
      <w:pPr>
        <w:spacing w:after="0" w:line="240" w:lineRule="auto"/>
      </w:pPr>
      <w:r>
        <w:separator/>
      </w:r>
    </w:p>
  </w:footnote>
  <w:footnote w:type="continuationSeparator" w:id="0">
    <w:p w:rsidR="00CC6228" w:rsidRDefault="00CC6228" w:rsidP="00E033DA">
      <w:pPr>
        <w:spacing w:after="0" w:line="240" w:lineRule="auto"/>
      </w:pPr>
      <w:r>
        <w:continuationSeparator/>
      </w:r>
    </w:p>
  </w:footnote>
  <w:footnote w:id="1">
    <w:p w:rsidR="00FA01A4" w:rsidRDefault="00FA01A4" w:rsidP="00E033DA">
      <w:pPr>
        <w:pBdr>
          <w:top w:val="nil"/>
          <w:left w:val="nil"/>
          <w:bottom w:val="nil"/>
          <w:right w:val="nil"/>
          <w:between w:val="nil"/>
        </w:pBdr>
        <w:rPr>
          <w:rFonts w:eastAsia="Times New Roman"/>
          <w:color w:val="000000"/>
        </w:rPr>
      </w:pPr>
      <w:r>
        <w:rPr>
          <w:rStyle w:val="FootnoteReference"/>
        </w:rPr>
        <w:footnoteRef/>
      </w:r>
      <w:r>
        <w:rPr>
          <w:rFonts w:eastAsia="Times New Roman"/>
          <w:color w:val="000000"/>
          <w:vertAlign w:val="superscript"/>
        </w:rPr>
        <w:t>[1]</w:t>
      </w:r>
      <w:r>
        <w:rPr>
          <w:rFonts w:eastAsia="Times New Roman"/>
          <w:color w:val="000000"/>
        </w:rPr>
        <w:t xml:space="preserve"> Органа на европейските регулатори в областта на електронните съобщения</w:t>
      </w:r>
    </w:p>
  </w:footnote>
  <w:footnote w:id="2">
    <w:p w:rsidR="00FA01A4" w:rsidRDefault="00FA01A4" w:rsidP="00E033DA">
      <w:pPr>
        <w:pBdr>
          <w:top w:val="nil"/>
          <w:left w:val="nil"/>
          <w:bottom w:val="nil"/>
          <w:right w:val="nil"/>
          <w:between w:val="nil"/>
        </w:pBdr>
        <w:rPr>
          <w:rFonts w:ascii="Calibri" w:eastAsia="Calibri" w:hAnsi="Calibri" w:cs="Calibri"/>
          <w:color w:val="000000"/>
        </w:rPr>
      </w:pPr>
      <w:r>
        <w:rPr>
          <w:rStyle w:val="FootnoteReference"/>
        </w:rPr>
        <w:footnoteRef/>
      </w:r>
      <w:r>
        <w:rPr>
          <w:rFonts w:eastAsia="Times New Roman"/>
          <w:color w:val="000000"/>
          <w:vertAlign w:val="superscript"/>
        </w:rPr>
        <w:t>[2]</w:t>
      </w:r>
      <w:r>
        <w:rPr>
          <w:rFonts w:eastAsia="Times New Roman"/>
          <w:color w:val="000000"/>
        </w:rPr>
        <w:t xml:space="preserve"> </w:t>
      </w:r>
      <w:hyperlink r:id="rId1">
        <w:r>
          <w:rPr>
            <w:rFonts w:eastAsia="Times New Roman"/>
            <w:color w:val="0563C1"/>
            <w:u w:val="single"/>
          </w:rPr>
          <w:t>https://www.berec.europa.eu/en/document-categories/berec/berec-strategies-and-work-programmes/outline-berec-work-programme-2024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1A4" w:rsidRDefault="009B6781">
    <w:pPr>
      <w:pBdr>
        <w:top w:val="nil"/>
        <w:left w:val="nil"/>
        <w:bottom w:val="nil"/>
        <w:right w:val="nil"/>
        <w:between w:val="nil"/>
      </w:pBdr>
      <w:tabs>
        <w:tab w:val="center" w:pos="4536"/>
        <w:tab w:val="right" w:pos="9072"/>
      </w:tabs>
      <w:rPr>
        <w:rFonts w:eastAsia="Times New Roman"/>
        <w:color w:val="000000"/>
      </w:rPr>
    </w:pPr>
    <w:r>
      <w:rPr>
        <w:rFonts w:eastAsia="Times New Roman"/>
        <w:noProof/>
        <w:color w:val="000000"/>
        <w:lang w:eastAsia="bg-BG"/>
      </w:rPr>
      <mc:AlternateContent>
        <mc:Choice Requires="wps">
          <w:drawing>
            <wp:anchor distT="0" distB="0" distL="0" distR="0" simplePos="0" relativeHeight="251659264" behindDoc="0" locked="0" layoutInCell="1" allowOverlap="1" wp14:anchorId="737991C8" wp14:editId="7FF455D0">
              <wp:simplePos x="635" y="635"/>
              <wp:positionH relativeFrom="page">
                <wp:align>right</wp:align>
              </wp:positionH>
              <wp:positionV relativeFrom="page">
                <wp:align>top</wp:align>
              </wp:positionV>
              <wp:extent cx="443865" cy="443865"/>
              <wp:effectExtent l="0" t="0" r="0" b="4445"/>
              <wp:wrapNone/>
              <wp:docPr id="2" name="Text Box 2" descr="Open">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9B6781" w:rsidRPr="009B6781" w:rsidRDefault="009B6781" w:rsidP="009B6781">
                          <w:pPr>
                            <w:spacing w:after="0"/>
                            <w:rPr>
                              <w:rFonts w:ascii="Calibri" w:eastAsia="Calibri" w:hAnsi="Calibri" w:cs="Calibri"/>
                              <w:noProof/>
                              <w:color w:val="000000"/>
                              <w:sz w:val="20"/>
                              <w:szCs w:val="20"/>
                            </w:rPr>
                          </w:pPr>
                          <w:r w:rsidRPr="009B6781">
                            <w:rPr>
                              <w:rFonts w:ascii="Calibri" w:eastAsia="Calibri" w:hAnsi="Calibri" w:cs="Calibri"/>
                              <w:noProof/>
                              <w:color w:val="000000"/>
                              <w:sz w:val="20"/>
                              <w:szCs w:val="20"/>
                            </w:rPr>
                            <w:t>Open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37991C8" id="_x0000_t202" coordsize="21600,21600" o:spt="202" path="m,l,21600r21600,l21600,xe">
              <v:stroke joinstyle="miter"/>
              <v:path gradientshapeok="t" o:connecttype="rect"/>
            </v:shapetype>
            <v:shape id="Text Box 2" o:spid="_x0000_s1026" type="#_x0000_t202" alt="Open" style="position:absolute;margin-left:-16.2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" filled="f" stroked="f">
              <v:textbox style="mso-fit-shape-to-text:t" inset="0,15pt,20pt,0">
                <w:txbxContent>
                  <w:p w:rsidR="009B6781" w:rsidRPr="009B6781" w:rsidRDefault="009B6781" w:rsidP="009B6781">
                    <w:pPr>
                      <w:spacing w:after="0"/>
                      <w:rPr>
                        <w:rFonts w:ascii="Calibri" w:eastAsia="Calibri" w:hAnsi="Calibri" w:cs="Calibri"/>
                        <w:noProof/>
                        <w:color w:val="000000"/>
                        <w:sz w:val="20"/>
                        <w:szCs w:val="20"/>
                      </w:rPr>
                    </w:pPr>
                    <w:r w:rsidRPr="009B6781">
                      <w:rPr>
                        <w:rFonts w:ascii="Calibri" w:eastAsia="Calibri" w:hAnsi="Calibri" w:cs="Calibri"/>
                        <w:noProof/>
                        <w:color w:val="000000"/>
                        <w:sz w:val="20"/>
                        <w:szCs w:val="20"/>
                      </w:rPr>
                      <w:t>Open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781" w:rsidRDefault="009B6781">
    <w:pPr>
      <w:pStyle w:val="Header"/>
    </w:pPr>
    <w:r>
      <w:rPr>
        <w:noProof/>
        <w:lang w:eastAsia="bg-BG"/>
      </w:rPr>
      <mc:AlternateContent>
        <mc:Choice Requires="wps">
          <w:drawing>
            <wp:anchor distT="0" distB="0" distL="0" distR="0" simplePos="0" relativeHeight="251660288" behindDoc="0" locked="0" layoutInCell="1" allowOverlap="1" wp14:anchorId="14B5FFC9" wp14:editId="4FF83F64">
              <wp:simplePos x="901700" y="447675"/>
              <wp:positionH relativeFrom="page">
                <wp:align>right</wp:align>
              </wp:positionH>
              <wp:positionV relativeFrom="page">
                <wp:align>top</wp:align>
              </wp:positionV>
              <wp:extent cx="443865" cy="443865"/>
              <wp:effectExtent l="0" t="0" r="0" b="4445"/>
              <wp:wrapNone/>
              <wp:docPr id="3" name="Text Box 3" descr="Open">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9B6781" w:rsidRPr="009B6781" w:rsidRDefault="009B6781" w:rsidP="009B6781">
                          <w:pPr>
                            <w:spacing w:after="0"/>
                            <w:rPr>
                              <w:rFonts w:ascii="Calibri" w:eastAsia="Calibri" w:hAnsi="Calibri" w:cs="Calibri"/>
                              <w:noProof/>
                              <w:color w:val="000000"/>
                              <w:sz w:val="20"/>
                              <w:szCs w:val="2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4B5FFC9" id="_x0000_t202" coordsize="21600,21600" o:spt="202" path="m,l,21600r21600,l21600,xe">
              <v:stroke joinstyle="miter"/>
              <v:path gradientshapeok="t" o:connecttype="rect"/>
            </v:shapetype>
            <v:shape id="Text Box 3" o:spid="_x0000_s1027" type="#_x0000_t202" alt="Open" style="position:absolute;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" filled="f" stroked="f">
              <v:textbox style="mso-fit-shape-to-text:t" inset="0,15pt,20pt,0">
                <w:txbxContent>
                  <w:p w:rsidR="009B6781" w:rsidRPr="009B6781" w:rsidRDefault="009B6781" w:rsidP="009B6781">
                    <w:pPr>
                      <w:spacing w:after="0"/>
                      <w:rPr>
                        <w:rFonts w:ascii="Calibri" w:eastAsia="Calibri" w:hAnsi="Calibri" w:cs="Calibri"/>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1A4" w:rsidRDefault="009B6781">
    <w:pPr>
      <w:pBdr>
        <w:top w:val="nil"/>
        <w:left w:val="nil"/>
        <w:bottom w:val="nil"/>
        <w:right w:val="nil"/>
        <w:between w:val="nil"/>
      </w:pBdr>
      <w:tabs>
        <w:tab w:val="center" w:pos="4536"/>
        <w:tab w:val="right" w:pos="9072"/>
      </w:tabs>
      <w:rPr>
        <w:rFonts w:eastAsia="Times New Roman"/>
        <w:color w:val="000000"/>
      </w:rPr>
    </w:pPr>
    <w:r>
      <w:rPr>
        <w:rFonts w:eastAsia="Times New Roman"/>
        <w:noProof/>
        <w:color w:val="000000"/>
        <w:lang w:eastAsia="bg-BG"/>
      </w:rPr>
      <mc:AlternateContent>
        <mc:Choice Requires="wps">
          <w:drawing>
            <wp:anchor distT="0" distB="0" distL="0" distR="0" simplePos="0" relativeHeight="251658240" behindDoc="0" locked="0" layoutInCell="1" allowOverlap="1" wp14:anchorId="0D303B53" wp14:editId="6099839B">
              <wp:simplePos x="635" y="635"/>
              <wp:positionH relativeFrom="page">
                <wp:align>right</wp:align>
              </wp:positionH>
              <wp:positionV relativeFrom="page">
                <wp:align>top</wp:align>
              </wp:positionV>
              <wp:extent cx="443865" cy="443865"/>
              <wp:effectExtent l="0" t="0" r="0" b="4445"/>
              <wp:wrapNone/>
              <wp:docPr id="1" name="Text Box 1" descr="Open">
                <a:extLst xmlns:a="http://schemas.openxmlformats.org/drawingml/2006/main">
                  <a:ext uri="{5AE41FA2-C0FF-4470-9BD4-5FADCA87CBE2}">
                    <aclsh:classification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9B6781" w:rsidRPr="009B6781" w:rsidRDefault="009B6781" w:rsidP="009B6781">
                          <w:pPr>
                            <w:spacing w:after="0"/>
                            <w:rPr>
                              <w:rFonts w:ascii="Calibri" w:eastAsia="Calibri" w:hAnsi="Calibri" w:cs="Calibri"/>
                              <w:noProof/>
                              <w:color w:val="000000"/>
                              <w:sz w:val="20"/>
                              <w:szCs w:val="20"/>
                            </w:rPr>
                          </w:pPr>
                          <w:r w:rsidRPr="009B6781">
                            <w:rPr>
                              <w:rFonts w:ascii="Calibri" w:eastAsia="Calibri" w:hAnsi="Calibri" w:cs="Calibri"/>
                              <w:noProof/>
                              <w:color w:val="000000"/>
                              <w:sz w:val="20"/>
                              <w:szCs w:val="20"/>
                            </w:rPr>
                            <w:t>Open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D303B53" id="_x0000_t202" coordsize="21600,21600" o:spt="202" path="m,l,21600r21600,l21600,xe">
              <v:stroke joinstyle="miter"/>
              <v:path gradientshapeok="t" o:connecttype="rect"/>
            </v:shapetype>
            <v:shape id="Text Box 1" o:spid="_x0000_s1028" type="#_x0000_t202" alt="Open"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" filled="f" stroked="f">
              <v:textbox style="mso-fit-shape-to-text:t" inset="0,15pt,20pt,0">
                <w:txbxContent>
                  <w:p w:rsidR="009B6781" w:rsidRPr="009B6781" w:rsidRDefault="009B6781" w:rsidP="009B6781">
                    <w:pPr>
                      <w:spacing w:after="0"/>
                      <w:rPr>
                        <w:rFonts w:ascii="Calibri" w:eastAsia="Calibri" w:hAnsi="Calibri" w:cs="Calibri"/>
                        <w:noProof/>
                        <w:color w:val="000000"/>
                        <w:sz w:val="20"/>
                        <w:szCs w:val="20"/>
                      </w:rPr>
                    </w:pPr>
                    <w:r w:rsidRPr="009B6781">
                      <w:rPr>
                        <w:rFonts w:ascii="Calibri" w:eastAsia="Calibri" w:hAnsi="Calibri" w:cs="Calibri"/>
                        <w:noProof/>
                        <w:color w:val="000000"/>
                        <w:sz w:val="20"/>
                        <w:szCs w:val="20"/>
                      </w:rPr>
                      <w:t>Open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B120E"/>
    <w:multiLevelType w:val="multilevel"/>
    <w:tmpl w:val="931C35D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0EF335C6"/>
    <w:multiLevelType w:val="multilevel"/>
    <w:tmpl w:val="769CD016"/>
    <w:lvl w:ilvl="0">
      <w:start w:val="1"/>
      <w:numFmt w:val="decimal"/>
      <w:lvlText w:val="%1."/>
      <w:lvlJc w:val="left"/>
      <w:pPr>
        <w:ind w:left="0" w:hanging="360"/>
      </w:pPr>
      <w:rPr>
        <w:b/>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 w15:restartNumberingAfterBreak="0">
    <w:nsid w:val="19A03ECF"/>
    <w:multiLevelType w:val="multilevel"/>
    <w:tmpl w:val="9B1ADE90"/>
    <w:lvl w:ilvl="0">
      <w:start w:val="1"/>
      <w:numFmt w:val="decimal"/>
      <w:lvlText w:val="%1."/>
      <w:lvlJc w:val="left"/>
      <w:pPr>
        <w:ind w:left="1070" w:hanging="71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6DD3774"/>
    <w:multiLevelType w:val="hybridMultilevel"/>
    <w:tmpl w:val="6C36BBB0"/>
    <w:lvl w:ilvl="0" w:tplc="CFCEC1E6">
      <w:start w:val="1"/>
      <w:numFmt w:val="decimal"/>
      <w:lvlText w:val="%1."/>
      <w:lvlJc w:val="left"/>
      <w:pPr>
        <w:ind w:left="1068" w:hanging="360"/>
      </w:pPr>
      <w:rPr>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34F83D7A"/>
    <w:multiLevelType w:val="multilevel"/>
    <w:tmpl w:val="7746491A"/>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370337E4"/>
    <w:multiLevelType w:val="multilevel"/>
    <w:tmpl w:val="9B1ADE90"/>
    <w:lvl w:ilvl="0">
      <w:start w:val="1"/>
      <w:numFmt w:val="decimal"/>
      <w:lvlText w:val="%1."/>
      <w:lvlJc w:val="left"/>
      <w:pPr>
        <w:ind w:left="1070" w:hanging="71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A5F0E15"/>
    <w:multiLevelType w:val="multilevel"/>
    <w:tmpl w:val="DA44E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A6132A"/>
    <w:multiLevelType w:val="multilevel"/>
    <w:tmpl w:val="D4706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7E7FD0"/>
    <w:multiLevelType w:val="multilevel"/>
    <w:tmpl w:val="4A5E903A"/>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545F0F5F"/>
    <w:multiLevelType w:val="multilevel"/>
    <w:tmpl w:val="EA80DE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DB07C40"/>
    <w:multiLevelType w:val="multilevel"/>
    <w:tmpl w:val="04A45414"/>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68B123E2"/>
    <w:multiLevelType w:val="multilevel"/>
    <w:tmpl w:val="BA829190"/>
    <w:lvl w:ilvl="0">
      <w:start w:val="1"/>
      <w:numFmt w:val="decimal"/>
      <w:lvlText w:val="%1."/>
      <w:lvlJc w:val="left"/>
      <w:pPr>
        <w:ind w:left="1069" w:hanging="360"/>
      </w:pPr>
      <w:rPr>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7CA76383"/>
    <w:multiLevelType w:val="multilevel"/>
    <w:tmpl w:val="B6AA25C4"/>
    <w:lvl w:ilvl="0">
      <w:start w:val="1"/>
      <w:numFmt w:val="decimal"/>
      <w:lvlText w:val="%1."/>
      <w:lvlJc w:val="left"/>
      <w:pPr>
        <w:ind w:left="1069" w:hanging="360"/>
      </w:pPr>
      <w:rPr>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
  </w:num>
  <w:num w:numId="2">
    <w:abstractNumId w:val="8"/>
  </w:num>
  <w:num w:numId="3">
    <w:abstractNumId w:val="9"/>
  </w:num>
  <w:num w:numId="4">
    <w:abstractNumId w:val="4"/>
  </w:num>
  <w:num w:numId="5">
    <w:abstractNumId w:val="12"/>
  </w:num>
  <w:num w:numId="6">
    <w:abstractNumId w:val="0"/>
  </w:num>
  <w:num w:numId="7">
    <w:abstractNumId w:val="2"/>
  </w:num>
  <w:num w:numId="8">
    <w:abstractNumId w:val="11"/>
  </w:num>
  <w:num w:numId="9">
    <w:abstractNumId w:val="10"/>
  </w:num>
  <w:num w:numId="10">
    <w:abstractNumId w:val="5"/>
  </w:num>
  <w:num w:numId="11">
    <w:abstractNumId w:val="3"/>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3DA"/>
    <w:rsid w:val="00000DC1"/>
    <w:rsid w:val="000145F6"/>
    <w:rsid w:val="000413D3"/>
    <w:rsid w:val="000D0313"/>
    <w:rsid w:val="000D1892"/>
    <w:rsid w:val="001B178D"/>
    <w:rsid w:val="001B2994"/>
    <w:rsid w:val="001B2DF8"/>
    <w:rsid w:val="002E6EFF"/>
    <w:rsid w:val="00371C45"/>
    <w:rsid w:val="003877F1"/>
    <w:rsid w:val="00474EC6"/>
    <w:rsid w:val="00560A9A"/>
    <w:rsid w:val="00592299"/>
    <w:rsid w:val="005A7E5F"/>
    <w:rsid w:val="005F07FA"/>
    <w:rsid w:val="00677BCF"/>
    <w:rsid w:val="006865E0"/>
    <w:rsid w:val="006F085D"/>
    <w:rsid w:val="00712D36"/>
    <w:rsid w:val="007278A5"/>
    <w:rsid w:val="007430BC"/>
    <w:rsid w:val="007B1CA6"/>
    <w:rsid w:val="00875361"/>
    <w:rsid w:val="008A414B"/>
    <w:rsid w:val="008D156A"/>
    <w:rsid w:val="008F1CB2"/>
    <w:rsid w:val="009119C3"/>
    <w:rsid w:val="00975D32"/>
    <w:rsid w:val="009B6781"/>
    <w:rsid w:val="00AC5F0A"/>
    <w:rsid w:val="00B4400D"/>
    <w:rsid w:val="00B4695F"/>
    <w:rsid w:val="00BA71FE"/>
    <w:rsid w:val="00C561FC"/>
    <w:rsid w:val="00C62D14"/>
    <w:rsid w:val="00C750B9"/>
    <w:rsid w:val="00C868E1"/>
    <w:rsid w:val="00C97C3D"/>
    <w:rsid w:val="00C97E72"/>
    <w:rsid w:val="00CA740A"/>
    <w:rsid w:val="00CC6228"/>
    <w:rsid w:val="00CD1C4D"/>
    <w:rsid w:val="00CE6F25"/>
    <w:rsid w:val="00D53E6F"/>
    <w:rsid w:val="00E033DA"/>
    <w:rsid w:val="00E12648"/>
    <w:rsid w:val="00E423AB"/>
    <w:rsid w:val="00E53344"/>
    <w:rsid w:val="00EB588C"/>
    <w:rsid w:val="00F260DD"/>
    <w:rsid w:val="00F26331"/>
    <w:rsid w:val="00F40A3B"/>
    <w:rsid w:val="00F505FA"/>
    <w:rsid w:val="00F72157"/>
    <w:rsid w:val="00F75AC3"/>
    <w:rsid w:val="00FA01A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ACC2A1C-BB4C-4DF9-A248-51684618D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33DA"/>
    <w:rPr>
      <w:rFonts w:cs="Times New Roman"/>
      <w:sz w:val="16"/>
      <w:szCs w:val="16"/>
    </w:rPr>
  </w:style>
  <w:style w:type="paragraph" w:styleId="CommentText">
    <w:name w:val="annotation text"/>
    <w:basedOn w:val="Normal"/>
    <w:link w:val="CommentTextChar"/>
    <w:uiPriority w:val="99"/>
    <w:unhideWhenUsed/>
    <w:rsid w:val="00E033DA"/>
    <w:pPr>
      <w:widowControl w:val="0"/>
      <w:autoSpaceDE w:val="0"/>
      <w:autoSpaceDN w:val="0"/>
      <w:adjustRightInd w:val="0"/>
      <w:spacing w:after="0" w:line="240" w:lineRule="auto"/>
    </w:pPr>
    <w:rPr>
      <w:rFonts w:ascii="Times New Roman" w:eastAsiaTheme="minorEastAsia" w:hAnsi="Times New Roman" w:cs="Times New Roman"/>
      <w:sz w:val="20"/>
      <w:szCs w:val="20"/>
      <w:lang w:val="bg" w:eastAsia="bg-BG"/>
    </w:rPr>
  </w:style>
  <w:style w:type="character" w:customStyle="1" w:styleId="CommentTextChar">
    <w:name w:val="Comment Text Char"/>
    <w:basedOn w:val="DefaultParagraphFont"/>
    <w:link w:val="CommentText"/>
    <w:uiPriority w:val="99"/>
    <w:rsid w:val="00E033DA"/>
    <w:rPr>
      <w:rFonts w:ascii="Times New Roman" w:eastAsiaTheme="minorEastAsia" w:hAnsi="Times New Roman" w:cs="Times New Roman"/>
      <w:sz w:val="20"/>
      <w:szCs w:val="20"/>
      <w:lang w:val="bg" w:eastAsia="bg-BG"/>
    </w:rPr>
  </w:style>
  <w:style w:type="character" w:styleId="FootnoteReference">
    <w:name w:val="footnote reference"/>
    <w:basedOn w:val="DefaultParagraphFont"/>
    <w:uiPriority w:val="99"/>
    <w:semiHidden/>
    <w:unhideWhenUsed/>
    <w:rsid w:val="00E033DA"/>
    <w:rPr>
      <w:vertAlign w:val="superscript"/>
    </w:rPr>
  </w:style>
  <w:style w:type="paragraph" w:styleId="BalloonText">
    <w:name w:val="Balloon Text"/>
    <w:basedOn w:val="Normal"/>
    <w:link w:val="BalloonTextChar"/>
    <w:uiPriority w:val="99"/>
    <w:semiHidden/>
    <w:unhideWhenUsed/>
    <w:rsid w:val="00E033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3D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A740A"/>
    <w:pPr>
      <w:widowControl/>
      <w:autoSpaceDE/>
      <w:autoSpaceDN/>
      <w:adjustRightInd/>
      <w:spacing w:after="160"/>
    </w:pPr>
    <w:rPr>
      <w:rFonts w:asciiTheme="minorHAnsi" w:eastAsiaTheme="minorHAnsi" w:hAnsiTheme="minorHAnsi" w:cstheme="minorBidi"/>
      <w:b/>
      <w:bCs/>
      <w:lang w:val="bg-BG" w:eastAsia="en-US"/>
    </w:rPr>
  </w:style>
  <w:style w:type="character" w:customStyle="1" w:styleId="CommentSubjectChar">
    <w:name w:val="Comment Subject Char"/>
    <w:basedOn w:val="CommentTextChar"/>
    <w:link w:val="CommentSubject"/>
    <w:uiPriority w:val="99"/>
    <w:semiHidden/>
    <w:rsid w:val="00CA740A"/>
    <w:rPr>
      <w:rFonts w:ascii="Times New Roman" w:eastAsiaTheme="minorEastAsia" w:hAnsi="Times New Roman" w:cs="Times New Roman"/>
      <w:b/>
      <w:bCs/>
      <w:sz w:val="20"/>
      <w:szCs w:val="20"/>
      <w:lang w:val="bg" w:eastAsia="bg-BG"/>
    </w:rPr>
  </w:style>
  <w:style w:type="paragraph" w:styleId="ListParagraph">
    <w:name w:val="List Paragraph"/>
    <w:basedOn w:val="Normal"/>
    <w:uiPriority w:val="34"/>
    <w:qFormat/>
    <w:rsid w:val="00000DC1"/>
    <w:pPr>
      <w:ind w:left="720"/>
      <w:contextualSpacing/>
    </w:pPr>
  </w:style>
  <w:style w:type="paragraph" w:styleId="Revision">
    <w:name w:val="Revision"/>
    <w:hidden/>
    <w:uiPriority w:val="99"/>
    <w:semiHidden/>
    <w:rsid w:val="009B6781"/>
    <w:pPr>
      <w:spacing w:after="0" w:line="240" w:lineRule="auto"/>
    </w:pPr>
  </w:style>
  <w:style w:type="paragraph" w:styleId="Header">
    <w:name w:val="header"/>
    <w:basedOn w:val="Normal"/>
    <w:link w:val="HeaderChar"/>
    <w:uiPriority w:val="99"/>
    <w:unhideWhenUsed/>
    <w:rsid w:val="009B678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6781"/>
  </w:style>
  <w:style w:type="character" w:styleId="Hyperlink">
    <w:name w:val="Hyperlink"/>
    <w:basedOn w:val="DefaultParagraphFont"/>
    <w:uiPriority w:val="99"/>
    <w:semiHidden/>
    <w:unhideWhenUsed/>
    <w:rsid w:val="009B6781"/>
    <w:rPr>
      <w:color w:val="0000FF"/>
      <w:u w:val="single"/>
    </w:rPr>
  </w:style>
  <w:style w:type="character" w:customStyle="1" w:styleId="alcapt">
    <w:name w:val="al_capt"/>
    <w:basedOn w:val="DefaultParagraphFont"/>
    <w:rsid w:val="00F40A3B"/>
  </w:style>
  <w:style w:type="character" w:customStyle="1" w:styleId="cnglog">
    <w:name w:val="cnglog"/>
    <w:basedOn w:val="DefaultParagraphFont"/>
    <w:rsid w:val="00F40A3B"/>
  </w:style>
  <w:style w:type="character" w:customStyle="1" w:styleId="articlehistory">
    <w:name w:val="article_history"/>
    <w:basedOn w:val="DefaultParagraphFont"/>
    <w:rsid w:val="00F40A3B"/>
  </w:style>
  <w:style w:type="character" w:customStyle="1" w:styleId="parcapt">
    <w:name w:val="par_capt"/>
    <w:basedOn w:val="DefaultParagraphFont"/>
    <w:rsid w:val="00560A9A"/>
  </w:style>
  <w:style w:type="character" w:customStyle="1" w:styleId="alt">
    <w:name w:val="al_t"/>
    <w:basedOn w:val="DefaultParagraphFont"/>
    <w:rsid w:val="00560A9A"/>
  </w:style>
  <w:style w:type="character" w:customStyle="1" w:styleId="subpardislink">
    <w:name w:val="subpardislink"/>
    <w:basedOn w:val="DefaultParagraphFont"/>
    <w:rsid w:val="00560A9A"/>
  </w:style>
  <w:style w:type="paragraph" w:styleId="Footer">
    <w:name w:val="footer"/>
    <w:basedOn w:val="Normal"/>
    <w:link w:val="FooterChar"/>
    <w:uiPriority w:val="99"/>
    <w:unhideWhenUsed/>
    <w:rsid w:val="00474EC6"/>
    <w:pPr>
      <w:tabs>
        <w:tab w:val="center" w:pos="4703"/>
        <w:tab w:val="right" w:pos="9406"/>
      </w:tabs>
      <w:spacing w:after="0" w:line="240" w:lineRule="auto"/>
    </w:pPr>
  </w:style>
  <w:style w:type="character" w:customStyle="1" w:styleId="FooterChar">
    <w:name w:val="Footer Char"/>
    <w:basedOn w:val="DefaultParagraphFont"/>
    <w:link w:val="Footer"/>
    <w:uiPriority w:val="99"/>
    <w:rsid w:val="00474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berec.europa.eu/en/document-categories/berec/berec-strategies-and-work-programmes/outline-berec-work-programme-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AA980-982B-4D22-9D3B-B48C3B9FD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4995</Words>
  <Characters>28474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MTITC</Company>
  <LinksUpToDate>false</LinksUpToDate>
  <CharactersWithSpaces>33403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Zlatina Nikolova</dc:creator>
  <cp:keywords/>
  <dc:description/>
  <cp:lastModifiedBy>Tzanka Tzankova</cp:lastModifiedBy>
  <cp:revision>2</cp:revision>
  <cp:lastPrinted>2023-08-10T10:47:00Z</cp:lastPrinted>
  <dcterms:created xsi:type="dcterms:W3CDTF">2023-12-13T13:54:00Z</dcterms:created>
  <dcterms:modified xsi:type="dcterms:W3CDTF">2023-12-13T13:54:00Z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Open</vt:lpwstr>
  </property>
  <property fmtid="{D5CDD505-2E9C-101B-9397-08002B2CF9AE}" pid="5" name="MSIP_Label_d0167c36-b4d5-4e4e-bd61-39632ce73ec8_Enabled">
    <vt:lpwstr>true</vt:lpwstr>
  </property>
  <property fmtid="{D5CDD505-2E9C-101B-9397-08002B2CF9AE}" pid="6" name="MSIP_Label_d0167c36-b4d5-4e4e-bd61-39632ce73ec8_SetDate">
    <vt:lpwstr>2023-08-11T06:10:51Z</vt:lpwstr>
  </property>
  <property fmtid="{D5CDD505-2E9C-101B-9397-08002B2CF9AE}" pid="7" name="MSIP_Label_d0167c36-b4d5-4e4e-bd61-39632ce73ec8_Method">
    <vt:lpwstr>Privileged</vt:lpwstr>
  </property>
  <property fmtid="{D5CDD505-2E9C-101B-9397-08002B2CF9AE}" pid="8" name="MSIP_Label_d0167c36-b4d5-4e4e-bd61-39632ce73ec8_Name">
    <vt:lpwstr>Open</vt:lpwstr>
  </property>
  <property fmtid="{D5CDD505-2E9C-101B-9397-08002B2CF9AE}" pid="9" name="MSIP_Label_d0167c36-b4d5-4e4e-bd61-39632ce73ec8_SiteId">
    <vt:lpwstr>169bbd4f-4054-49cd-a5c7-0244ab23e3a8</vt:lpwstr>
  </property>
  <property fmtid="{D5CDD505-2E9C-101B-9397-08002B2CF9AE}" pid="10" name="MSIP_Label_d0167c36-b4d5-4e4e-bd61-39632ce73ec8_ActionId">
    <vt:lpwstr>f0b0d0b1-ce63-4ec7-9565-75f310a0fbbd</vt:lpwstr>
  </property>
  <property fmtid="{D5CDD505-2E9C-101B-9397-08002B2CF9AE}" pid="11" name="MSIP_Label_d0167c36-b4d5-4e4e-bd61-39632ce73ec8_ContentBits">
    <vt:lpwstr>1</vt:lpwstr>
  </property>
</Properties>
</file>