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C5F" w:rsidRPr="00C35D98" w:rsidRDefault="00482C5F" w:rsidP="00482C5F">
      <w:pPr>
        <w:spacing w:after="0" w:line="23" w:lineRule="atLeast"/>
        <w:contextualSpacing/>
        <w:jc w:val="both"/>
        <w:rPr>
          <w:rFonts w:ascii="Times New Roman" w:hAnsi="Times New Roman"/>
          <w:b/>
          <w:sz w:val="24"/>
          <w:szCs w:val="24"/>
          <w:lang w:eastAsia="bg-BG"/>
        </w:rPr>
      </w:pPr>
      <w:r w:rsidRPr="00C35D98">
        <w:rPr>
          <w:rFonts w:ascii="Times New Roman" w:hAnsi="Times New Roman"/>
          <w:b/>
          <w:sz w:val="24"/>
          <w:szCs w:val="24"/>
          <w:lang w:eastAsia="bg-BG"/>
        </w:rPr>
        <w:tab/>
      </w:r>
      <w:r w:rsidRPr="00C35D98">
        <w:rPr>
          <w:rFonts w:ascii="Times New Roman" w:hAnsi="Times New Roman"/>
          <w:b/>
          <w:sz w:val="24"/>
          <w:szCs w:val="24"/>
          <w:lang w:eastAsia="bg-BG"/>
        </w:rPr>
        <w:tab/>
      </w:r>
      <w:r w:rsidRPr="00C35D98">
        <w:rPr>
          <w:rFonts w:ascii="Times New Roman" w:hAnsi="Times New Roman"/>
          <w:b/>
          <w:sz w:val="24"/>
          <w:szCs w:val="24"/>
          <w:lang w:eastAsia="bg-BG"/>
        </w:rPr>
        <w:tab/>
      </w:r>
      <w:r w:rsidRPr="00C35D98">
        <w:rPr>
          <w:rFonts w:ascii="Times New Roman" w:hAnsi="Times New Roman"/>
          <w:b/>
          <w:sz w:val="24"/>
          <w:szCs w:val="24"/>
          <w:lang w:eastAsia="bg-BG"/>
        </w:rPr>
        <w:tab/>
      </w:r>
      <w:r w:rsidRPr="00C35D98">
        <w:rPr>
          <w:rFonts w:ascii="Times New Roman" w:hAnsi="Times New Roman"/>
          <w:b/>
          <w:sz w:val="24"/>
          <w:szCs w:val="24"/>
          <w:lang w:eastAsia="bg-BG"/>
        </w:rPr>
        <w:tab/>
      </w:r>
      <w:r w:rsidRPr="00C35D98">
        <w:rPr>
          <w:rFonts w:ascii="Times New Roman" w:hAnsi="Times New Roman"/>
          <w:b/>
          <w:sz w:val="24"/>
          <w:szCs w:val="24"/>
          <w:lang w:eastAsia="bg-BG"/>
        </w:rPr>
        <w:tab/>
      </w:r>
      <w:r w:rsidRPr="00C35D98">
        <w:rPr>
          <w:rFonts w:ascii="Times New Roman" w:hAnsi="Times New Roman"/>
          <w:b/>
          <w:sz w:val="24"/>
          <w:szCs w:val="24"/>
          <w:lang w:eastAsia="bg-BG"/>
        </w:rPr>
        <w:tab/>
      </w:r>
      <w:r w:rsidRPr="00C35D98">
        <w:rPr>
          <w:rFonts w:ascii="Times New Roman" w:hAnsi="Times New Roman"/>
          <w:b/>
          <w:sz w:val="24"/>
          <w:szCs w:val="24"/>
          <w:lang w:eastAsia="bg-BG"/>
        </w:rPr>
        <w:tab/>
      </w:r>
      <w:r w:rsidRPr="00C35D98">
        <w:rPr>
          <w:rFonts w:ascii="Times New Roman" w:hAnsi="Times New Roman"/>
          <w:b/>
          <w:sz w:val="24"/>
          <w:szCs w:val="24"/>
          <w:lang w:eastAsia="bg-BG"/>
        </w:rPr>
        <w:tab/>
      </w:r>
      <w:r w:rsidRPr="00C35D98">
        <w:rPr>
          <w:rFonts w:ascii="Times New Roman" w:hAnsi="Times New Roman"/>
          <w:b/>
          <w:sz w:val="24"/>
          <w:szCs w:val="24"/>
          <w:lang w:eastAsia="bg-BG"/>
        </w:rPr>
        <w:tab/>
      </w:r>
      <w:r w:rsidRPr="00C35D98">
        <w:rPr>
          <w:rFonts w:ascii="Times New Roman" w:hAnsi="Times New Roman"/>
          <w:b/>
          <w:sz w:val="24"/>
          <w:szCs w:val="24"/>
          <w:lang w:eastAsia="bg-BG"/>
        </w:rPr>
        <w:tab/>
        <w:t>Проект !</w:t>
      </w:r>
    </w:p>
    <w:p w:rsidR="00482C5F" w:rsidRPr="00C35D98" w:rsidRDefault="00482C5F" w:rsidP="00482C5F">
      <w:pPr>
        <w:spacing w:after="0" w:line="23" w:lineRule="atLeast"/>
        <w:contextualSpacing/>
        <w:jc w:val="both"/>
        <w:rPr>
          <w:rFonts w:ascii="Times New Roman" w:hAnsi="Times New Roman"/>
          <w:b/>
          <w:sz w:val="24"/>
          <w:szCs w:val="24"/>
          <w:lang w:eastAsia="bg-BG"/>
        </w:rPr>
      </w:pPr>
    </w:p>
    <w:p w:rsidR="00482C5F" w:rsidRPr="00B87A3A" w:rsidRDefault="00482C5F" w:rsidP="00B87A3A">
      <w:pPr>
        <w:spacing w:after="0" w:line="276" w:lineRule="auto"/>
        <w:ind w:left="1080"/>
        <w:contextualSpacing/>
        <w:jc w:val="both"/>
        <w:rPr>
          <w:rFonts w:ascii="Times New Roman" w:hAnsi="Times New Roman"/>
          <w:b/>
          <w:sz w:val="24"/>
          <w:szCs w:val="24"/>
          <w:lang w:eastAsia="bg-BG"/>
        </w:rPr>
      </w:pPr>
    </w:p>
    <w:p w:rsidR="00482C5F" w:rsidRPr="00B87A3A" w:rsidRDefault="00482C5F" w:rsidP="00B87A3A">
      <w:pPr>
        <w:spacing w:after="60" w:line="276" w:lineRule="auto"/>
        <w:jc w:val="center"/>
        <w:rPr>
          <w:rFonts w:ascii="Times New Roman" w:hAnsi="Times New Roman"/>
          <w:b/>
          <w:sz w:val="24"/>
          <w:szCs w:val="24"/>
          <w:lang w:eastAsia="bg-BG"/>
        </w:rPr>
      </w:pPr>
      <w:r w:rsidRPr="00B87A3A">
        <w:rPr>
          <w:rFonts w:ascii="Times New Roman" w:hAnsi="Times New Roman"/>
          <w:b/>
          <w:sz w:val="24"/>
          <w:szCs w:val="24"/>
          <w:lang w:eastAsia="bg-BG"/>
        </w:rPr>
        <w:t>М  О  Т  И  В  И</w:t>
      </w:r>
    </w:p>
    <w:p w:rsidR="00482C5F" w:rsidRPr="00B87A3A" w:rsidRDefault="00482C5F" w:rsidP="00B87A3A">
      <w:pPr>
        <w:spacing w:after="0" w:line="276" w:lineRule="auto"/>
        <w:ind w:left="720" w:right="720"/>
        <w:jc w:val="center"/>
        <w:rPr>
          <w:rFonts w:ascii="Times New Roman" w:hAnsi="Times New Roman"/>
          <w:b/>
          <w:smallCaps/>
          <w:sz w:val="24"/>
          <w:szCs w:val="24"/>
          <w:lang w:eastAsia="bg-BG"/>
        </w:rPr>
      </w:pPr>
      <w:r w:rsidRPr="00B87A3A">
        <w:rPr>
          <w:rFonts w:ascii="Times New Roman" w:hAnsi="Times New Roman"/>
          <w:b/>
          <w:smallCaps/>
          <w:sz w:val="24"/>
          <w:szCs w:val="24"/>
          <w:lang w:eastAsia="bg-BG"/>
        </w:rPr>
        <w:t>към проекта на Закон за изменение и допълнение на Наказателно-процесуалния кодекс</w:t>
      </w:r>
    </w:p>
    <w:p w:rsidR="00482C5F" w:rsidRPr="00B87A3A" w:rsidRDefault="00482C5F" w:rsidP="00B87A3A">
      <w:pPr>
        <w:spacing w:after="0" w:line="276" w:lineRule="auto"/>
        <w:ind w:left="720" w:right="720"/>
        <w:jc w:val="center"/>
        <w:rPr>
          <w:rFonts w:ascii="Times New Roman" w:hAnsi="Times New Roman"/>
          <w:b/>
          <w:smallCaps/>
          <w:sz w:val="24"/>
          <w:szCs w:val="24"/>
          <w:lang w:eastAsia="bg-BG"/>
        </w:rPr>
      </w:pPr>
    </w:p>
    <w:p w:rsidR="00482C5F" w:rsidRPr="00B87A3A" w:rsidRDefault="00482C5F" w:rsidP="00B87A3A">
      <w:pPr>
        <w:spacing w:after="0" w:line="276" w:lineRule="auto"/>
        <w:ind w:left="720" w:right="720"/>
        <w:jc w:val="center"/>
        <w:rPr>
          <w:rFonts w:ascii="Times New Roman" w:hAnsi="Times New Roman"/>
          <w:b/>
          <w:smallCaps/>
          <w:sz w:val="24"/>
          <w:szCs w:val="24"/>
          <w:lang w:eastAsia="bg-BG"/>
        </w:rPr>
      </w:pPr>
    </w:p>
    <w:p w:rsidR="00C41012" w:rsidRPr="00B87A3A" w:rsidRDefault="00482C5F" w:rsidP="00B87A3A">
      <w:pPr>
        <w:spacing w:after="0" w:line="276" w:lineRule="auto"/>
        <w:ind w:firstLine="709"/>
        <w:contextualSpacing/>
        <w:jc w:val="both"/>
        <w:rPr>
          <w:rFonts w:ascii="Times New Roman" w:eastAsia="Calibri" w:hAnsi="Times New Roman"/>
          <w:b/>
          <w:sz w:val="24"/>
          <w:szCs w:val="24"/>
        </w:rPr>
      </w:pPr>
      <w:r w:rsidRPr="00B87A3A">
        <w:rPr>
          <w:rFonts w:ascii="Times New Roman" w:eastAsiaTheme="minorEastAsia" w:hAnsi="Times New Roman"/>
          <w:sz w:val="24"/>
          <w:szCs w:val="24"/>
          <w:lang w:eastAsia="zh-TW"/>
        </w:rPr>
        <w:t>Причините, които налагат приемането на предложения законопроект, са продиктувани от спешната необходимост да се предприемат действия за изпълнение на предвиденото в</w:t>
      </w:r>
      <w:r w:rsidRPr="00B87A3A">
        <w:rPr>
          <w:rFonts w:ascii="Times New Roman" w:eastAsia="Calibri" w:hAnsi="Times New Roman"/>
          <w:sz w:val="24"/>
          <w:szCs w:val="24"/>
        </w:rPr>
        <w:t xml:space="preserve"> Националния план за възстановяване и устойчивост (НПВУ),  в Стълб ,,Справедлива България“, Компонент ,,Бизнес среда“, буква „г“ Реформи и инвестиции, Реформа 2: ,,Противодействие на корупцията“, където е предвидено влизане в сила на изменения в правната рамка, свързани със законодателни изменения за гарантиране на ефективността на наказателния процес</w:t>
      </w:r>
      <w:r w:rsidR="00C41012" w:rsidRPr="00B87A3A">
        <w:rPr>
          <w:rFonts w:ascii="Times New Roman" w:eastAsia="Calibri" w:hAnsi="Times New Roman"/>
          <w:sz w:val="24"/>
          <w:szCs w:val="24"/>
        </w:rPr>
        <w:t xml:space="preserve">. </w:t>
      </w:r>
    </w:p>
    <w:p w:rsidR="00482C5F" w:rsidRPr="00B87A3A" w:rsidRDefault="00482C5F" w:rsidP="00B87A3A">
      <w:pPr>
        <w:spacing w:line="276" w:lineRule="auto"/>
        <w:ind w:firstLine="708"/>
        <w:jc w:val="both"/>
        <w:rPr>
          <w:rFonts w:ascii="Times New Roman" w:eastAsia="Calibri" w:hAnsi="Times New Roman"/>
          <w:sz w:val="24"/>
          <w:szCs w:val="24"/>
        </w:rPr>
      </w:pPr>
      <w:r w:rsidRPr="00B87A3A">
        <w:rPr>
          <w:rFonts w:ascii="Times New Roman" w:eastAsia="Calibri" w:hAnsi="Times New Roman"/>
          <w:sz w:val="24"/>
          <w:szCs w:val="24"/>
        </w:rPr>
        <w:t>През 2023 г. със Закона за изменение и допълнение на Наказателно-процесуалния кодекс (ЗИД на НПК) обн., ДВ, бр. 48 от 2023 г. 49-ото Народно събрание прие</w:t>
      </w:r>
      <w:r w:rsidRPr="00B87A3A">
        <w:rPr>
          <w:rFonts w:ascii="Times New Roman" w:hAnsi="Times New Roman"/>
          <w:bCs/>
          <w:sz w:val="24"/>
          <w:szCs w:val="24"/>
        </w:rPr>
        <w:t xml:space="preserve"> част от необходимите изменения и допълнения в НПК, свързани с </w:t>
      </w:r>
      <w:r w:rsidRPr="00B87A3A">
        <w:rPr>
          <w:rFonts w:ascii="Times New Roman" w:eastAsia="Calibri" w:hAnsi="Times New Roman"/>
          <w:sz w:val="24"/>
          <w:szCs w:val="24"/>
        </w:rPr>
        <w:t>повишаване на ефективността на наказателните производства и защита правата на пострадалите от престъпления</w:t>
      </w:r>
      <w:r w:rsidR="009B67AD">
        <w:rPr>
          <w:rFonts w:ascii="Times New Roman" w:eastAsia="Calibri" w:hAnsi="Times New Roman"/>
          <w:sz w:val="24"/>
          <w:szCs w:val="24"/>
        </w:rPr>
        <w:t>,</w:t>
      </w:r>
      <w:r w:rsidRPr="00B87A3A">
        <w:rPr>
          <w:rFonts w:ascii="Times New Roman" w:eastAsia="Calibri" w:hAnsi="Times New Roman"/>
          <w:sz w:val="24"/>
          <w:szCs w:val="24"/>
        </w:rPr>
        <w:t xml:space="preserve"> и регламентира механизъм за търсене на наказателна отговорност на главния прокурор и на неговите заместници. Законът беше приет в изпълнение на задълженията на държавата по силата на чл. 46 от Конвенцията за</w:t>
      </w:r>
      <w:r w:rsidR="009B67AD">
        <w:rPr>
          <w:rFonts w:ascii="Times New Roman" w:eastAsia="Calibri" w:hAnsi="Times New Roman"/>
          <w:sz w:val="24"/>
          <w:szCs w:val="24"/>
        </w:rPr>
        <w:t xml:space="preserve"> защита </w:t>
      </w:r>
      <w:r w:rsidRPr="00B87A3A">
        <w:rPr>
          <w:rFonts w:ascii="Times New Roman" w:eastAsia="Calibri" w:hAnsi="Times New Roman"/>
          <w:sz w:val="24"/>
          <w:szCs w:val="24"/>
        </w:rPr>
        <w:t>правата на човека и основните свободи, като бяха взети предвид препоръките, направени от европейските партньори</w:t>
      </w:r>
      <w:r w:rsidR="009B67AD">
        <w:rPr>
          <w:rFonts w:ascii="Times New Roman" w:eastAsia="Calibri" w:hAnsi="Times New Roman"/>
          <w:sz w:val="24"/>
          <w:szCs w:val="24"/>
        </w:rPr>
        <w:t>,</w:t>
      </w:r>
      <w:r w:rsidRPr="00B87A3A">
        <w:rPr>
          <w:rFonts w:ascii="Times New Roman" w:eastAsia="Calibri" w:hAnsi="Times New Roman"/>
          <w:sz w:val="24"/>
          <w:szCs w:val="24"/>
        </w:rPr>
        <w:t xml:space="preserve"> и мерките, заложени в НПВУ, и съобразени с националната правна система.</w:t>
      </w:r>
      <w:r w:rsidRPr="00B87A3A">
        <w:rPr>
          <w:rFonts w:ascii="Times New Roman" w:eastAsia="Calibri" w:hAnsi="Times New Roman"/>
          <w:sz w:val="24"/>
          <w:szCs w:val="24"/>
        </w:rPr>
        <w:tab/>
      </w:r>
    </w:p>
    <w:p w:rsidR="00482C5F" w:rsidRPr="00B87A3A" w:rsidRDefault="00482C5F" w:rsidP="00B87A3A">
      <w:pPr>
        <w:spacing w:after="0" w:line="276" w:lineRule="auto"/>
        <w:ind w:firstLine="709"/>
        <w:contextualSpacing/>
        <w:jc w:val="both"/>
        <w:rPr>
          <w:rFonts w:ascii="Times New Roman" w:hAnsi="Times New Roman"/>
          <w:sz w:val="24"/>
          <w:szCs w:val="24"/>
        </w:rPr>
      </w:pPr>
      <w:r w:rsidRPr="00B87A3A">
        <w:rPr>
          <w:rFonts w:ascii="Times New Roman" w:hAnsi="Times New Roman"/>
          <w:sz w:val="24"/>
          <w:szCs w:val="24"/>
        </w:rPr>
        <w:t>Целта на  настоящия законопроект е да бъдат осигурени ясни предпоставки и допустими хипотези за възобновяване на наказателните производства, когато са изтекли сроковете за това</w:t>
      </w:r>
      <w:r w:rsidR="00C41012" w:rsidRPr="00B87A3A">
        <w:rPr>
          <w:rFonts w:ascii="Times New Roman" w:hAnsi="Times New Roman"/>
          <w:sz w:val="24"/>
          <w:szCs w:val="24"/>
        </w:rPr>
        <w:t xml:space="preserve"> </w:t>
      </w:r>
      <w:r w:rsidRPr="00B87A3A">
        <w:rPr>
          <w:rFonts w:ascii="Times New Roman" w:hAnsi="Times New Roman"/>
          <w:sz w:val="24"/>
          <w:szCs w:val="24"/>
        </w:rPr>
        <w:t>в случаите на чл. 243, ал. 10 НПК по искане на главния прокурор; възможност за разделяне на делата срещу няколко обвиняеми в съдебната фаза чрез изменение на чл. 248 НПК</w:t>
      </w:r>
      <w:r w:rsidR="00BB0364">
        <w:rPr>
          <w:rFonts w:ascii="Times New Roman" w:hAnsi="Times New Roman"/>
          <w:sz w:val="24"/>
          <w:szCs w:val="24"/>
        </w:rPr>
        <w:t xml:space="preserve">; </w:t>
      </w:r>
      <w:r w:rsidRPr="00B87A3A">
        <w:rPr>
          <w:rFonts w:ascii="Times New Roman" w:hAnsi="Times New Roman"/>
          <w:sz w:val="24"/>
          <w:szCs w:val="24"/>
        </w:rPr>
        <w:t>въвеждане на право на пострадалия да иска ускоряване на наказателното производство и преди повдигане на обвинение чрез изменение на чл.</w:t>
      </w:r>
      <w:r w:rsidR="00C41012" w:rsidRPr="00B87A3A">
        <w:rPr>
          <w:rFonts w:ascii="Times New Roman" w:hAnsi="Times New Roman"/>
          <w:sz w:val="24"/>
          <w:szCs w:val="24"/>
        </w:rPr>
        <w:t xml:space="preserve"> 368 НПК, както и възможност съответния</w:t>
      </w:r>
      <w:r w:rsidR="00BB0364">
        <w:rPr>
          <w:rFonts w:ascii="Times New Roman" w:hAnsi="Times New Roman"/>
          <w:sz w:val="24"/>
          <w:szCs w:val="24"/>
        </w:rPr>
        <w:t>т</w:t>
      </w:r>
      <w:r w:rsidR="00C41012" w:rsidRPr="00B87A3A">
        <w:rPr>
          <w:rFonts w:ascii="Times New Roman" w:hAnsi="Times New Roman"/>
          <w:sz w:val="24"/>
          <w:szCs w:val="24"/>
        </w:rPr>
        <w:t xml:space="preserve"> държавен орган</w:t>
      </w:r>
      <w:r w:rsidR="00BB0364">
        <w:rPr>
          <w:rFonts w:ascii="Times New Roman" w:hAnsi="Times New Roman"/>
          <w:sz w:val="24"/>
          <w:szCs w:val="24"/>
        </w:rPr>
        <w:t>,</w:t>
      </w:r>
      <w:r w:rsidR="00C41012" w:rsidRPr="00B87A3A">
        <w:rPr>
          <w:rFonts w:ascii="Times New Roman" w:hAnsi="Times New Roman"/>
          <w:sz w:val="24"/>
          <w:szCs w:val="24"/>
        </w:rPr>
        <w:t xml:space="preserve"> направил съобщението за извършено престъпление</w:t>
      </w:r>
      <w:r w:rsidR="00FD2A9E">
        <w:rPr>
          <w:rFonts w:ascii="Times New Roman" w:hAnsi="Times New Roman"/>
          <w:sz w:val="24"/>
          <w:szCs w:val="24"/>
        </w:rPr>
        <w:t>,</w:t>
      </w:r>
      <w:r w:rsidR="00C41012" w:rsidRPr="00B87A3A">
        <w:rPr>
          <w:rFonts w:ascii="Times New Roman" w:hAnsi="Times New Roman"/>
          <w:sz w:val="24"/>
          <w:szCs w:val="24"/>
        </w:rPr>
        <w:t xml:space="preserve"> да може да иска ускоряване на наказателното производство.</w:t>
      </w:r>
    </w:p>
    <w:p w:rsidR="00DE0553" w:rsidRPr="00B87A3A" w:rsidRDefault="00DE0553" w:rsidP="00B87A3A">
      <w:pPr>
        <w:spacing w:after="0" w:line="276" w:lineRule="auto"/>
        <w:ind w:firstLine="709"/>
        <w:contextualSpacing/>
        <w:jc w:val="both"/>
        <w:rPr>
          <w:rFonts w:ascii="Times New Roman" w:hAnsi="Times New Roman"/>
          <w:sz w:val="24"/>
          <w:szCs w:val="24"/>
          <w:u w:val="single"/>
        </w:rPr>
      </w:pPr>
      <w:r w:rsidRPr="00B87A3A">
        <w:rPr>
          <w:rFonts w:ascii="Times New Roman" w:hAnsi="Times New Roman"/>
          <w:sz w:val="24"/>
          <w:szCs w:val="24"/>
        </w:rPr>
        <w:t>Също така се предлага възможност за</w:t>
      </w:r>
      <w:r w:rsidR="001A3644" w:rsidRPr="00B87A3A">
        <w:rPr>
          <w:rFonts w:ascii="Times New Roman" w:hAnsi="Times New Roman"/>
          <w:sz w:val="24"/>
          <w:szCs w:val="24"/>
        </w:rPr>
        <w:t xml:space="preserve"> обжалване на постановленията за прекратяване и спиране от прокурора по искане на Комисията за противодействие на корупцията, Комисията за отнемане на незаконно придобито</w:t>
      </w:r>
      <w:r w:rsidR="00FD2A9E">
        <w:rPr>
          <w:rFonts w:ascii="Times New Roman" w:hAnsi="Times New Roman"/>
          <w:sz w:val="24"/>
          <w:szCs w:val="24"/>
        </w:rPr>
        <w:t>то</w:t>
      </w:r>
      <w:r w:rsidR="001A3644" w:rsidRPr="00B87A3A">
        <w:rPr>
          <w:rFonts w:ascii="Times New Roman" w:hAnsi="Times New Roman"/>
          <w:sz w:val="24"/>
          <w:szCs w:val="24"/>
        </w:rPr>
        <w:t xml:space="preserve"> имущество, Агенцията за държавна финансова инспекция, Сметната палата и съответния държавен орган</w:t>
      </w:r>
      <w:r w:rsidR="00FD2A9E">
        <w:rPr>
          <w:rFonts w:ascii="Times New Roman" w:hAnsi="Times New Roman"/>
          <w:sz w:val="24"/>
          <w:szCs w:val="24"/>
        </w:rPr>
        <w:t>,</w:t>
      </w:r>
      <w:r w:rsidR="001A3644" w:rsidRPr="00B87A3A">
        <w:rPr>
          <w:rFonts w:ascii="Times New Roman" w:hAnsi="Times New Roman"/>
          <w:sz w:val="24"/>
          <w:szCs w:val="24"/>
        </w:rPr>
        <w:t xml:space="preserve">  направил съобщението за извършено престъпление, с възможност за обжалване пред с</w:t>
      </w:r>
      <w:r w:rsidR="005F2A2A" w:rsidRPr="00B87A3A">
        <w:rPr>
          <w:rFonts w:ascii="Times New Roman" w:hAnsi="Times New Roman"/>
          <w:sz w:val="24"/>
          <w:szCs w:val="24"/>
        </w:rPr>
        <w:t xml:space="preserve">ъответния първоинстанционен съд, </w:t>
      </w:r>
      <w:r w:rsidR="005F2A2A" w:rsidRPr="00B87A3A">
        <w:rPr>
          <w:rFonts w:ascii="Times New Roman" w:eastAsia="Courier New" w:hAnsi="Times New Roman"/>
          <w:sz w:val="24"/>
          <w:szCs w:val="24"/>
          <w:lang w:bidi="en-US"/>
        </w:rPr>
        <w:t>дори ако разследването не е започнало вследствие на техен сигнал.</w:t>
      </w:r>
    </w:p>
    <w:p w:rsidR="00482C5F" w:rsidRPr="00B87A3A" w:rsidRDefault="00482C5F" w:rsidP="00B87A3A">
      <w:pPr>
        <w:spacing w:after="0" w:line="276" w:lineRule="auto"/>
        <w:ind w:firstLine="709"/>
        <w:contextualSpacing/>
        <w:jc w:val="both"/>
        <w:rPr>
          <w:rFonts w:ascii="Times New Roman" w:hAnsi="Times New Roman"/>
          <w:b/>
          <w:sz w:val="24"/>
          <w:szCs w:val="24"/>
          <w:lang w:eastAsia="bg-BG"/>
        </w:rPr>
      </w:pPr>
    </w:p>
    <w:p w:rsidR="00482C5F" w:rsidRPr="00B87A3A" w:rsidRDefault="00482C5F" w:rsidP="00B87A3A">
      <w:pPr>
        <w:numPr>
          <w:ilvl w:val="0"/>
          <w:numId w:val="1"/>
        </w:numPr>
        <w:spacing w:after="0" w:line="276" w:lineRule="auto"/>
        <w:ind w:left="0" w:firstLine="720"/>
        <w:contextualSpacing/>
        <w:jc w:val="both"/>
        <w:rPr>
          <w:rFonts w:ascii="Times New Roman" w:hAnsi="Times New Roman"/>
          <w:b/>
          <w:sz w:val="24"/>
          <w:szCs w:val="24"/>
          <w:lang w:eastAsia="bg-BG"/>
        </w:rPr>
      </w:pPr>
      <w:r w:rsidRPr="00B87A3A">
        <w:rPr>
          <w:rFonts w:ascii="Times New Roman" w:hAnsi="Times New Roman"/>
          <w:b/>
          <w:sz w:val="24"/>
          <w:szCs w:val="24"/>
          <w:lang w:eastAsia="bg-BG"/>
        </w:rPr>
        <w:t xml:space="preserve">Отмяна на постановление за прекратяване на наказателното производство от прокурора </w:t>
      </w:r>
    </w:p>
    <w:p w:rsidR="00482C5F" w:rsidRPr="00B87A3A" w:rsidRDefault="00482C5F" w:rsidP="00B87A3A">
      <w:pPr>
        <w:spacing w:after="0" w:line="276" w:lineRule="auto"/>
        <w:ind w:left="1080"/>
        <w:contextualSpacing/>
        <w:jc w:val="both"/>
        <w:rPr>
          <w:rFonts w:ascii="Times New Roman" w:hAnsi="Times New Roman"/>
          <w:b/>
          <w:sz w:val="24"/>
          <w:szCs w:val="24"/>
          <w:lang w:eastAsia="bg-BG"/>
        </w:rPr>
      </w:pPr>
    </w:p>
    <w:p w:rsidR="00482C5F" w:rsidRPr="00B87A3A" w:rsidRDefault="00482C5F" w:rsidP="00B87A3A">
      <w:pPr>
        <w:spacing w:after="0" w:line="276" w:lineRule="auto"/>
        <w:jc w:val="both"/>
        <w:rPr>
          <w:rFonts w:ascii="Times New Roman" w:hAnsi="Times New Roman"/>
          <w:sz w:val="24"/>
          <w:szCs w:val="24"/>
          <w:lang w:eastAsia="bg-BG"/>
        </w:rPr>
      </w:pPr>
      <w:r w:rsidRPr="00B87A3A">
        <w:rPr>
          <w:rFonts w:ascii="Times New Roman" w:hAnsi="Times New Roman"/>
          <w:b/>
          <w:sz w:val="24"/>
          <w:szCs w:val="24"/>
          <w:lang w:eastAsia="bg-BG"/>
        </w:rPr>
        <w:t xml:space="preserve"> </w:t>
      </w:r>
      <w:r w:rsidRPr="00B87A3A">
        <w:rPr>
          <w:rFonts w:ascii="Times New Roman" w:hAnsi="Times New Roman"/>
          <w:b/>
          <w:sz w:val="24"/>
          <w:szCs w:val="24"/>
          <w:lang w:eastAsia="bg-BG"/>
        </w:rPr>
        <w:tab/>
      </w:r>
      <w:r w:rsidRPr="00B87A3A">
        <w:rPr>
          <w:rFonts w:ascii="Times New Roman" w:hAnsi="Times New Roman"/>
          <w:sz w:val="24"/>
          <w:szCs w:val="24"/>
          <w:lang w:eastAsia="bg-BG"/>
        </w:rPr>
        <w:t xml:space="preserve">Настоящият законопроект предлага усъвършенстване на разпоредбите за отмяна на постановлението за прекратяване на наказателното производство от прокурора и </w:t>
      </w:r>
      <w:r w:rsidRPr="00B87A3A">
        <w:rPr>
          <w:rFonts w:ascii="Times New Roman" w:hAnsi="Times New Roman"/>
          <w:sz w:val="24"/>
          <w:szCs w:val="24"/>
          <w:lang w:eastAsia="bg-BG"/>
        </w:rPr>
        <w:lastRenderedPageBreak/>
        <w:t>въвеждане на ясни правила за отмяна от главния прокурор в изрично изброените случаи в новосъздадения чл. 243а  НПК.</w:t>
      </w:r>
    </w:p>
    <w:p w:rsidR="00482C5F" w:rsidRPr="00B87A3A" w:rsidRDefault="00482C5F" w:rsidP="00B87A3A">
      <w:pPr>
        <w:spacing w:after="0" w:line="276" w:lineRule="auto"/>
        <w:ind w:firstLine="720"/>
        <w:jc w:val="both"/>
        <w:rPr>
          <w:rFonts w:ascii="Times New Roman" w:hAnsi="Times New Roman"/>
          <w:sz w:val="24"/>
          <w:szCs w:val="24"/>
          <w:lang w:eastAsia="bg-BG"/>
        </w:rPr>
      </w:pPr>
      <w:r w:rsidRPr="00B87A3A">
        <w:rPr>
          <w:rFonts w:ascii="Times New Roman" w:hAnsi="Times New Roman"/>
          <w:sz w:val="24"/>
          <w:szCs w:val="24"/>
          <w:lang w:eastAsia="bg-BG"/>
        </w:rPr>
        <w:t xml:space="preserve">Към момента по силата на чл. 243, ал. 10 НПК главният прокурор може да отмени постановлението за прекратяване „в изключителни случаи“, което е предпоставка за </w:t>
      </w:r>
      <w:proofErr w:type="spellStart"/>
      <w:r w:rsidRPr="00B87A3A">
        <w:rPr>
          <w:rFonts w:ascii="Times New Roman" w:hAnsi="Times New Roman"/>
          <w:sz w:val="24"/>
          <w:szCs w:val="24"/>
          <w:lang w:eastAsia="bg-BG"/>
        </w:rPr>
        <w:t>неяснот</w:t>
      </w:r>
      <w:proofErr w:type="spellEnd"/>
      <w:r w:rsidRPr="00B87A3A">
        <w:rPr>
          <w:rFonts w:ascii="Times New Roman" w:hAnsi="Times New Roman"/>
          <w:sz w:val="24"/>
          <w:szCs w:val="24"/>
          <w:lang w:val="en-US" w:eastAsia="bg-BG"/>
        </w:rPr>
        <w:t>a</w:t>
      </w:r>
      <w:r w:rsidRPr="00B87A3A">
        <w:rPr>
          <w:rFonts w:ascii="Times New Roman" w:hAnsi="Times New Roman"/>
          <w:sz w:val="24"/>
          <w:szCs w:val="24"/>
          <w:lang w:eastAsia="bg-BG"/>
        </w:rPr>
        <w:t xml:space="preserve"> в прилагането на разпоредбата и несигурност в правното положение на обвиняемите. С настоящите изменения и допълнения се предлага уредба на изрични основания за отмяна, които представляват прецизиран с оглед </w:t>
      </w:r>
      <w:r w:rsidR="00FD2A9E">
        <w:rPr>
          <w:rFonts w:ascii="Times New Roman" w:hAnsi="Times New Roman"/>
          <w:sz w:val="24"/>
          <w:szCs w:val="24"/>
          <w:lang w:eastAsia="bg-BG"/>
        </w:rPr>
        <w:t xml:space="preserve">на </w:t>
      </w:r>
      <w:r w:rsidRPr="00B87A3A">
        <w:rPr>
          <w:rFonts w:ascii="Times New Roman" w:hAnsi="Times New Roman"/>
          <w:sz w:val="24"/>
          <w:szCs w:val="24"/>
          <w:lang w:eastAsia="bg-BG"/>
        </w:rPr>
        <w:t>контекста вариант на основанията за възобновяване на наказателните дела по чл. 422 от НПК: установяване на неистински доказателства, престъпление от страна на прокурор или разследващ орган във връзка с участието в наказателното производство, неизвестни на прокурора обстоятелства или доказателства от съществено значение за делото, решение на ЕСПЧ за нарушение на Конвенцията за защита на правата на човека и основните свободи във връзка със съответното производство. Така извънредната понастоящем намеса на главния прокурор в правната сфера на обвиняемите в бъдеще ще почива на ясно дефинирани, изрични и утвърдени в съдебната практика основания, което ще даде гаранции за спазването на правата на лицата, обвинени в извършване на престъпления, и така ще осигури по-висок стандарт за спазването на правата на всички участници в процеса.</w:t>
      </w:r>
    </w:p>
    <w:p w:rsidR="00482C5F" w:rsidRPr="00B87A3A" w:rsidRDefault="00482C5F" w:rsidP="00B87A3A">
      <w:pPr>
        <w:spacing w:after="0" w:line="276" w:lineRule="auto"/>
        <w:ind w:firstLine="720"/>
        <w:jc w:val="both"/>
        <w:rPr>
          <w:rFonts w:ascii="Times New Roman" w:hAnsi="Times New Roman"/>
          <w:sz w:val="24"/>
          <w:szCs w:val="24"/>
          <w:lang w:eastAsia="bg-BG"/>
        </w:rPr>
      </w:pPr>
      <w:r w:rsidRPr="00B87A3A">
        <w:rPr>
          <w:rFonts w:ascii="Times New Roman" w:hAnsi="Times New Roman"/>
          <w:sz w:val="24"/>
          <w:szCs w:val="24"/>
          <w:lang w:eastAsia="bg-BG"/>
        </w:rPr>
        <w:t xml:space="preserve">Измененията в тази част удовлетворяват стандартите по Конвенцията, и в частност констатациите по делото </w:t>
      </w:r>
      <w:r w:rsidRPr="00B87A3A">
        <w:rPr>
          <w:rFonts w:ascii="Times New Roman" w:hAnsi="Times New Roman"/>
          <w:i/>
          <w:sz w:val="24"/>
          <w:szCs w:val="24"/>
          <w:lang w:eastAsia="bg-BG"/>
        </w:rPr>
        <w:t>Филева срещу България</w:t>
      </w:r>
      <w:r w:rsidRPr="00B87A3A">
        <w:rPr>
          <w:rFonts w:ascii="Times New Roman" w:hAnsi="Times New Roman"/>
          <w:sz w:val="24"/>
          <w:szCs w:val="24"/>
          <w:lang w:eastAsia="bg-BG"/>
        </w:rPr>
        <w:t>, решение на ЕСПЧ от 03.07.2012 г.</w:t>
      </w:r>
      <w:r w:rsidRPr="00B87A3A">
        <w:rPr>
          <w:rFonts w:ascii="Times New Roman" w:hAnsi="Times New Roman"/>
          <w:sz w:val="24"/>
          <w:szCs w:val="24"/>
          <w:vertAlign w:val="superscript"/>
          <w:lang w:eastAsia="bg-BG"/>
        </w:rPr>
        <w:footnoteReference w:id="1"/>
      </w:r>
      <w:r w:rsidRPr="00B87A3A">
        <w:rPr>
          <w:rFonts w:ascii="Times New Roman" w:hAnsi="Times New Roman"/>
          <w:sz w:val="24"/>
          <w:szCs w:val="24"/>
          <w:lang w:eastAsia="bg-BG"/>
        </w:rPr>
        <w:t xml:space="preserve">, както и на по-новото решение на ЕСПЧ - </w:t>
      </w:r>
      <w:r w:rsidRPr="00B87A3A">
        <w:rPr>
          <w:rFonts w:ascii="Times New Roman" w:hAnsi="Times New Roman"/>
          <w:i/>
          <w:sz w:val="24"/>
          <w:szCs w:val="24"/>
          <w:lang w:eastAsia="bg-BG"/>
        </w:rPr>
        <w:t>Миладинова срещу България</w:t>
      </w:r>
      <w:r w:rsidRPr="00B87A3A">
        <w:rPr>
          <w:rFonts w:ascii="Times New Roman" w:hAnsi="Times New Roman"/>
          <w:sz w:val="24"/>
          <w:szCs w:val="24"/>
          <w:lang w:eastAsia="bg-BG"/>
        </w:rPr>
        <w:t xml:space="preserve"> от 07.02.2023г.</w:t>
      </w:r>
      <w:r w:rsidR="0030422F" w:rsidRPr="00B87A3A">
        <w:rPr>
          <w:rFonts w:ascii="Times New Roman" w:hAnsi="Times New Roman"/>
          <w:sz w:val="24"/>
          <w:szCs w:val="24"/>
          <w:lang w:eastAsia="bg-BG"/>
        </w:rPr>
        <w:t xml:space="preserve">, </w:t>
      </w:r>
      <w:r w:rsidRPr="00B87A3A">
        <w:rPr>
          <w:rFonts w:ascii="Times New Roman" w:hAnsi="Times New Roman"/>
          <w:sz w:val="24"/>
          <w:szCs w:val="24"/>
          <w:lang w:eastAsia="bg-BG"/>
        </w:rPr>
        <w:t>в сила от 25.09.2023 г.</w:t>
      </w:r>
      <w:r w:rsidRPr="00B87A3A">
        <w:rPr>
          <w:rStyle w:val="FootnoteReference"/>
          <w:rFonts w:ascii="Times New Roman" w:hAnsi="Times New Roman"/>
          <w:sz w:val="24"/>
          <w:szCs w:val="24"/>
          <w:lang w:eastAsia="bg-BG"/>
        </w:rPr>
        <w:footnoteReference w:id="2"/>
      </w:r>
      <w:r w:rsidRPr="00B87A3A">
        <w:rPr>
          <w:rFonts w:ascii="Times New Roman" w:hAnsi="Times New Roman"/>
          <w:sz w:val="24"/>
          <w:szCs w:val="24"/>
          <w:lang w:eastAsia="bg-BG"/>
        </w:rPr>
        <w:t xml:space="preserve"> Аналогични констатации се съдържат и в независимия анализ на структурния и функционалния модел на прокуратурата на Република България. В анализа се посочва, че „възможността за спиране и възобновяване на дела при липса на нови доказателства или обстоятелства също може да доведе до злоупотреба с процеса“ и че са </w:t>
      </w:r>
      <w:r w:rsidR="00FD2A9E">
        <w:rPr>
          <w:rFonts w:ascii="Times New Roman" w:hAnsi="Times New Roman"/>
          <w:sz w:val="24"/>
          <w:szCs w:val="24"/>
          <w:lang w:eastAsia="bg-BG"/>
        </w:rPr>
        <w:t>„</w:t>
      </w:r>
      <w:r w:rsidRPr="00B87A3A">
        <w:rPr>
          <w:rFonts w:ascii="Times New Roman" w:hAnsi="Times New Roman"/>
          <w:sz w:val="24"/>
          <w:szCs w:val="24"/>
          <w:lang w:eastAsia="bg-BG"/>
        </w:rPr>
        <w:t>необходими допълнителни гаранции срещу такива действия на прокуратурата, за да бъдат предотвратени евентуални злоупотреби от нейна страна.</w:t>
      </w:r>
      <w:r w:rsidR="00FD2A9E">
        <w:rPr>
          <w:rFonts w:ascii="Times New Roman" w:hAnsi="Times New Roman"/>
          <w:sz w:val="24"/>
          <w:szCs w:val="24"/>
          <w:lang w:eastAsia="bg-BG"/>
        </w:rPr>
        <w:t>“</w:t>
      </w:r>
    </w:p>
    <w:p w:rsidR="00482C5F" w:rsidRPr="00B87A3A" w:rsidRDefault="00482C5F" w:rsidP="00B87A3A">
      <w:pPr>
        <w:spacing w:after="0" w:line="276" w:lineRule="auto"/>
        <w:ind w:firstLine="720"/>
        <w:jc w:val="both"/>
        <w:rPr>
          <w:rFonts w:ascii="Times New Roman" w:hAnsi="Times New Roman"/>
          <w:sz w:val="24"/>
          <w:szCs w:val="24"/>
          <w:lang w:eastAsia="bg-BG"/>
        </w:rPr>
      </w:pPr>
    </w:p>
    <w:p w:rsidR="00482C5F" w:rsidRPr="00B87A3A" w:rsidRDefault="00482C5F" w:rsidP="00B87A3A">
      <w:pPr>
        <w:numPr>
          <w:ilvl w:val="0"/>
          <w:numId w:val="1"/>
        </w:numPr>
        <w:spacing w:after="0" w:line="276" w:lineRule="auto"/>
        <w:contextualSpacing/>
        <w:jc w:val="both"/>
        <w:rPr>
          <w:rFonts w:ascii="Times New Roman" w:hAnsi="Times New Roman"/>
          <w:b/>
          <w:sz w:val="24"/>
          <w:szCs w:val="24"/>
          <w:lang w:eastAsia="bg-BG"/>
        </w:rPr>
      </w:pPr>
      <w:r w:rsidRPr="00B87A3A">
        <w:rPr>
          <w:rFonts w:ascii="Times New Roman" w:hAnsi="Times New Roman"/>
          <w:b/>
          <w:sz w:val="24"/>
          <w:szCs w:val="24"/>
          <w:lang w:eastAsia="bg-BG"/>
        </w:rPr>
        <w:t>Разделяне на делото в съдебна фаза</w:t>
      </w:r>
    </w:p>
    <w:p w:rsidR="00482C5F" w:rsidRPr="00B87A3A" w:rsidRDefault="00482C5F" w:rsidP="00B87A3A">
      <w:pPr>
        <w:spacing w:after="0" w:line="276" w:lineRule="auto"/>
        <w:ind w:left="1080"/>
        <w:contextualSpacing/>
        <w:jc w:val="both"/>
        <w:rPr>
          <w:rFonts w:ascii="Times New Roman" w:hAnsi="Times New Roman"/>
          <w:b/>
          <w:sz w:val="24"/>
          <w:szCs w:val="24"/>
          <w:lang w:eastAsia="bg-BG"/>
        </w:rPr>
      </w:pPr>
    </w:p>
    <w:p w:rsidR="00482C5F" w:rsidRPr="00B87A3A" w:rsidRDefault="00482C5F" w:rsidP="00B87A3A">
      <w:pPr>
        <w:spacing w:after="0" w:line="276" w:lineRule="auto"/>
        <w:ind w:firstLine="720"/>
        <w:jc w:val="both"/>
        <w:rPr>
          <w:rFonts w:ascii="Times New Roman" w:hAnsi="Times New Roman"/>
          <w:sz w:val="24"/>
          <w:szCs w:val="24"/>
          <w:lang w:eastAsia="bg-BG"/>
        </w:rPr>
      </w:pPr>
      <w:r w:rsidRPr="00B87A3A">
        <w:rPr>
          <w:rFonts w:ascii="Times New Roman" w:hAnsi="Times New Roman"/>
          <w:sz w:val="24"/>
          <w:szCs w:val="24"/>
          <w:lang w:eastAsia="bg-BG"/>
        </w:rPr>
        <w:t xml:space="preserve"> Необходимостта от въвеждане на възможност за разделяне на делото в съдебна фаза произтича от осъдителни решения на Европейския съд, например </w:t>
      </w:r>
      <w:r w:rsidRPr="00B87A3A">
        <w:rPr>
          <w:rFonts w:ascii="Times New Roman" w:hAnsi="Times New Roman"/>
          <w:i/>
          <w:sz w:val="24"/>
          <w:szCs w:val="24"/>
          <w:lang w:eastAsia="bg-BG"/>
        </w:rPr>
        <w:t>Васил Христов срещу България</w:t>
      </w:r>
      <w:r w:rsidRPr="00B87A3A">
        <w:rPr>
          <w:rFonts w:ascii="Times New Roman" w:hAnsi="Times New Roman"/>
          <w:sz w:val="24"/>
          <w:szCs w:val="24"/>
          <w:lang w:eastAsia="bg-BG"/>
        </w:rPr>
        <w:t xml:space="preserve">, където властите са установили само част от нападателите срещу жалбоподателя, както и решението </w:t>
      </w:r>
      <w:r w:rsidRPr="00B87A3A">
        <w:rPr>
          <w:rFonts w:ascii="Times New Roman" w:hAnsi="Times New Roman"/>
          <w:i/>
          <w:sz w:val="24"/>
          <w:szCs w:val="24"/>
          <w:lang w:eastAsia="bg-BG"/>
        </w:rPr>
        <w:t>С.З. срещу България</w:t>
      </w:r>
      <w:r w:rsidRPr="00B87A3A">
        <w:rPr>
          <w:rFonts w:ascii="Times New Roman" w:hAnsi="Times New Roman"/>
          <w:sz w:val="24"/>
          <w:szCs w:val="24"/>
          <w:lang w:eastAsia="bg-BG"/>
        </w:rPr>
        <w:t xml:space="preserve">, където част от подсъдимите също са отсъствали от значителен брой заседания, което е довело до значителна </w:t>
      </w:r>
      <w:r w:rsidRPr="00B87A3A">
        <w:rPr>
          <w:rFonts w:ascii="Times New Roman" w:hAnsi="Times New Roman"/>
          <w:sz w:val="24"/>
          <w:szCs w:val="24"/>
          <w:lang w:eastAsia="bg-BG"/>
        </w:rPr>
        <w:lastRenderedPageBreak/>
        <w:t>продължителност на съдебната фаза на производството и прекратяване на наказателното производство срещу някои подсъдими поради изтекла абсолютна давност.</w:t>
      </w:r>
    </w:p>
    <w:p w:rsidR="00482C5F" w:rsidRPr="00B87A3A" w:rsidRDefault="00482C5F" w:rsidP="00B87A3A">
      <w:pPr>
        <w:spacing w:after="0" w:line="276" w:lineRule="auto"/>
        <w:ind w:firstLine="720"/>
        <w:jc w:val="both"/>
        <w:rPr>
          <w:rFonts w:ascii="Times New Roman" w:hAnsi="Times New Roman"/>
          <w:sz w:val="24"/>
          <w:szCs w:val="24"/>
          <w:lang w:eastAsia="bg-BG"/>
        </w:rPr>
      </w:pPr>
      <w:r w:rsidRPr="00B87A3A">
        <w:rPr>
          <w:rFonts w:ascii="Times New Roman" w:hAnsi="Times New Roman"/>
          <w:sz w:val="24"/>
          <w:szCs w:val="24"/>
          <w:lang w:eastAsia="bg-BG"/>
        </w:rPr>
        <w:t>Измененията и допълненията, свързани с разделянето на делото в съдебна фаза, почиват</w:t>
      </w:r>
      <w:r w:rsidR="00417D17">
        <w:rPr>
          <w:rFonts w:ascii="Times New Roman" w:hAnsi="Times New Roman"/>
          <w:sz w:val="24"/>
          <w:szCs w:val="24"/>
          <w:lang w:eastAsia="bg-BG"/>
        </w:rPr>
        <w:t xml:space="preserve"> </w:t>
      </w:r>
      <w:r w:rsidRPr="00B87A3A">
        <w:rPr>
          <w:rFonts w:ascii="Times New Roman" w:hAnsi="Times New Roman"/>
          <w:sz w:val="24"/>
          <w:szCs w:val="24"/>
          <w:lang w:eastAsia="bg-BG"/>
        </w:rPr>
        <w:t xml:space="preserve">както на установените в горепосочените решения на ЕСПЧ нарушения на Конвенцията, така и на чисто практически трудности в съдебната фаза на процеса, споделяни от практикуващи юристи. Въпросът дали са налице основания за разделяне на делото следва да се обсъди в рамките на разпоредителното заседание, а съдът да може да се произнесе с определение, в което да отдели материалите за </w:t>
      </w:r>
      <w:proofErr w:type="spellStart"/>
      <w:r w:rsidRPr="00B87A3A">
        <w:rPr>
          <w:rFonts w:ascii="Times New Roman" w:hAnsi="Times New Roman"/>
          <w:sz w:val="24"/>
          <w:szCs w:val="24"/>
          <w:lang w:eastAsia="bg-BG"/>
        </w:rPr>
        <w:t>неиздирените</w:t>
      </w:r>
      <w:proofErr w:type="spellEnd"/>
      <w:r w:rsidRPr="00B87A3A">
        <w:rPr>
          <w:rFonts w:ascii="Times New Roman" w:hAnsi="Times New Roman"/>
          <w:sz w:val="24"/>
          <w:szCs w:val="24"/>
          <w:lang w:eastAsia="bg-BG"/>
        </w:rPr>
        <w:t xml:space="preserve"> или </w:t>
      </w:r>
      <w:proofErr w:type="spellStart"/>
      <w:r w:rsidRPr="00B87A3A">
        <w:rPr>
          <w:rFonts w:ascii="Times New Roman" w:hAnsi="Times New Roman"/>
          <w:sz w:val="24"/>
          <w:szCs w:val="24"/>
          <w:lang w:eastAsia="bg-BG"/>
        </w:rPr>
        <w:t>неявилите</w:t>
      </w:r>
      <w:proofErr w:type="spellEnd"/>
      <w:r w:rsidRPr="00B87A3A">
        <w:rPr>
          <w:rFonts w:ascii="Times New Roman" w:hAnsi="Times New Roman"/>
          <w:sz w:val="24"/>
          <w:szCs w:val="24"/>
          <w:lang w:eastAsia="bg-BG"/>
        </w:rPr>
        <w:t xml:space="preserve"> се без уважителни причини подсъдими, за които не е приложим чл. 269, както и за подсъдим, изпаднал в краткотрайно разстройство на съзнанието, което изключва вменяемостта, или с друго тежко заболяване, препятстващо провеждането на наказателното производство, в отделно дело, което да се разпредели на нов съдебен състав. Той от своя страна или по искане на някоя от страните би следвало да може, по своя преценка, да обедини делата по реда на чл. 41 от </w:t>
      </w:r>
      <w:r w:rsidR="00417D17">
        <w:rPr>
          <w:rFonts w:ascii="Times New Roman" w:hAnsi="Times New Roman"/>
          <w:sz w:val="24"/>
          <w:szCs w:val="24"/>
          <w:lang w:eastAsia="bg-BG"/>
        </w:rPr>
        <w:t>НПК</w:t>
      </w:r>
      <w:r w:rsidRPr="00B87A3A">
        <w:rPr>
          <w:rFonts w:ascii="Times New Roman" w:hAnsi="Times New Roman"/>
          <w:sz w:val="24"/>
          <w:szCs w:val="24"/>
          <w:lang w:eastAsia="bg-BG"/>
        </w:rPr>
        <w:t xml:space="preserve"> при поява на първоначално </w:t>
      </w:r>
      <w:proofErr w:type="spellStart"/>
      <w:r w:rsidRPr="00B87A3A">
        <w:rPr>
          <w:rFonts w:ascii="Times New Roman" w:hAnsi="Times New Roman"/>
          <w:sz w:val="24"/>
          <w:szCs w:val="24"/>
          <w:lang w:eastAsia="bg-BG"/>
        </w:rPr>
        <w:t>неявилия</w:t>
      </w:r>
      <w:proofErr w:type="spellEnd"/>
      <w:r w:rsidRPr="00B87A3A">
        <w:rPr>
          <w:rFonts w:ascii="Times New Roman" w:hAnsi="Times New Roman"/>
          <w:sz w:val="24"/>
          <w:szCs w:val="24"/>
          <w:lang w:eastAsia="bg-BG"/>
        </w:rPr>
        <w:t xml:space="preserve"> се подсъдим или подобряване на здравословното състояние на подсъдим, тъй като основанието за разделянето ще бъде на практика отпаднало.</w:t>
      </w:r>
    </w:p>
    <w:p w:rsidR="00482C5F" w:rsidRPr="00B87A3A" w:rsidRDefault="00482C5F" w:rsidP="00B87A3A">
      <w:pPr>
        <w:spacing w:after="0" w:line="276" w:lineRule="auto"/>
        <w:ind w:firstLine="720"/>
        <w:jc w:val="both"/>
        <w:rPr>
          <w:rFonts w:ascii="Times New Roman" w:hAnsi="Times New Roman"/>
          <w:sz w:val="24"/>
          <w:szCs w:val="24"/>
          <w:lang w:eastAsia="bg-BG"/>
        </w:rPr>
      </w:pPr>
      <w:r w:rsidRPr="00B87A3A">
        <w:rPr>
          <w:rFonts w:ascii="Times New Roman" w:hAnsi="Times New Roman"/>
          <w:sz w:val="24"/>
          <w:szCs w:val="24"/>
          <w:lang w:eastAsia="bg-BG"/>
        </w:rPr>
        <w:t>По този начин отсъствието на подсъдим по делото няма да е пречка то да продължи срещу останалите подсъдими, което ще гарантира ефективността на процеса и защита правата на пострадалите.</w:t>
      </w:r>
    </w:p>
    <w:p w:rsidR="00482C5F" w:rsidRPr="00B87A3A" w:rsidRDefault="00482C5F" w:rsidP="00B87A3A">
      <w:pPr>
        <w:spacing w:after="0" w:line="276" w:lineRule="auto"/>
        <w:ind w:firstLine="720"/>
        <w:jc w:val="both"/>
        <w:rPr>
          <w:rFonts w:ascii="Times New Roman" w:hAnsi="Times New Roman"/>
          <w:sz w:val="24"/>
          <w:szCs w:val="24"/>
          <w:lang w:eastAsia="bg-BG"/>
        </w:rPr>
      </w:pPr>
    </w:p>
    <w:p w:rsidR="00482C5F" w:rsidRPr="00B87A3A" w:rsidRDefault="00482C5F" w:rsidP="00B87A3A">
      <w:pPr>
        <w:pStyle w:val="ListParagraph"/>
        <w:numPr>
          <w:ilvl w:val="0"/>
          <w:numId w:val="1"/>
        </w:numPr>
        <w:spacing w:after="0" w:line="276" w:lineRule="auto"/>
        <w:ind w:left="0" w:firstLine="720"/>
        <w:jc w:val="both"/>
        <w:textAlignment w:val="center"/>
        <w:rPr>
          <w:rFonts w:ascii="Times New Roman" w:hAnsi="Times New Roman" w:cs="Times New Roman"/>
          <w:b/>
          <w:sz w:val="24"/>
          <w:szCs w:val="24"/>
          <w:lang w:val="bg-BG"/>
        </w:rPr>
      </w:pPr>
      <w:r w:rsidRPr="00B87A3A">
        <w:rPr>
          <w:rFonts w:ascii="Times New Roman" w:hAnsi="Times New Roman" w:cs="Times New Roman"/>
          <w:b/>
          <w:sz w:val="24"/>
          <w:szCs w:val="24"/>
          <w:lang w:val="bg-BG"/>
        </w:rPr>
        <w:t>Разширяване на възможностите за използване на ус</w:t>
      </w:r>
      <w:r w:rsidR="00AF0394" w:rsidRPr="00B87A3A">
        <w:rPr>
          <w:rFonts w:ascii="Times New Roman" w:hAnsi="Times New Roman" w:cs="Times New Roman"/>
          <w:b/>
          <w:sz w:val="24"/>
          <w:szCs w:val="24"/>
          <w:lang w:val="bg-BG"/>
        </w:rPr>
        <w:t>корителното средство</w:t>
      </w:r>
      <w:r w:rsidR="007259EE" w:rsidRPr="00B87A3A">
        <w:rPr>
          <w:rFonts w:ascii="Times New Roman" w:hAnsi="Times New Roman" w:cs="Times New Roman"/>
          <w:b/>
          <w:sz w:val="24"/>
          <w:szCs w:val="24"/>
          <w:lang w:val="bg-BG"/>
        </w:rPr>
        <w:t xml:space="preserve"> по глава двадесет и шеста</w:t>
      </w:r>
      <w:r w:rsidRPr="00B87A3A">
        <w:rPr>
          <w:rFonts w:ascii="Times New Roman" w:hAnsi="Times New Roman" w:cs="Times New Roman"/>
          <w:b/>
          <w:sz w:val="24"/>
          <w:szCs w:val="24"/>
          <w:lang w:val="bg-BG"/>
        </w:rPr>
        <w:t xml:space="preserve"> НПК</w:t>
      </w:r>
    </w:p>
    <w:p w:rsidR="00482C5F" w:rsidRPr="00B87A3A" w:rsidRDefault="00482C5F" w:rsidP="00B87A3A">
      <w:pPr>
        <w:pStyle w:val="ListParagraph"/>
        <w:spacing w:after="0" w:line="276" w:lineRule="auto"/>
        <w:ind w:left="0" w:firstLine="709"/>
        <w:jc w:val="both"/>
        <w:rPr>
          <w:rFonts w:ascii="Times New Roman" w:hAnsi="Times New Roman" w:cs="Times New Roman"/>
          <w:sz w:val="24"/>
          <w:szCs w:val="24"/>
          <w:u w:val="single"/>
          <w:lang w:val="bg-BG"/>
        </w:rPr>
      </w:pPr>
      <w:r w:rsidRPr="00B87A3A">
        <w:rPr>
          <w:rFonts w:ascii="Times New Roman" w:hAnsi="Times New Roman" w:cs="Times New Roman"/>
          <w:sz w:val="24"/>
          <w:szCs w:val="24"/>
          <w:lang w:val="bg-BG"/>
        </w:rPr>
        <w:t>Въвежда</w:t>
      </w:r>
      <w:r w:rsidR="005071EC">
        <w:rPr>
          <w:rFonts w:ascii="Times New Roman" w:hAnsi="Times New Roman" w:cs="Times New Roman"/>
          <w:sz w:val="24"/>
          <w:szCs w:val="24"/>
          <w:lang w:val="bg-BG"/>
        </w:rPr>
        <w:t xml:space="preserve"> се </w:t>
      </w:r>
      <w:r w:rsidRPr="00B87A3A">
        <w:rPr>
          <w:rFonts w:ascii="Times New Roman" w:hAnsi="Times New Roman" w:cs="Times New Roman"/>
          <w:sz w:val="24"/>
          <w:szCs w:val="24"/>
          <w:lang w:val="bg-BG"/>
        </w:rPr>
        <w:t>право на пострадалия</w:t>
      </w:r>
      <w:r w:rsidR="00F17699" w:rsidRPr="00B87A3A">
        <w:rPr>
          <w:rFonts w:ascii="Times New Roman" w:hAnsi="Times New Roman" w:cs="Times New Roman"/>
          <w:sz w:val="24"/>
          <w:szCs w:val="24"/>
          <w:lang w:val="bg-BG"/>
        </w:rPr>
        <w:t xml:space="preserve"> </w:t>
      </w:r>
      <w:r w:rsidRPr="00B87A3A">
        <w:rPr>
          <w:rFonts w:ascii="Times New Roman" w:hAnsi="Times New Roman" w:cs="Times New Roman"/>
          <w:sz w:val="24"/>
          <w:szCs w:val="24"/>
          <w:lang w:val="bg-BG"/>
        </w:rPr>
        <w:t>да иска ускоряване на наказателното производство и преди повдигане на обвинение чрез изменение на чл. 368 НПК. Тази промяна е залегнала като препоръка във всички решения на Комитета на министрите</w:t>
      </w:r>
      <w:r w:rsidR="00CC3278" w:rsidRPr="00B87A3A">
        <w:rPr>
          <w:rFonts w:ascii="Times New Roman" w:hAnsi="Times New Roman" w:cs="Times New Roman"/>
          <w:sz w:val="24"/>
          <w:szCs w:val="24"/>
          <w:lang w:val="bg-BG"/>
        </w:rPr>
        <w:t xml:space="preserve"> </w:t>
      </w:r>
      <w:r w:rsidR="00CC3278" w:rsidRPr="00B87A3A">
        <w:rPr>
          <w:rFonts w:ascii="Times New Roman" w:hAnsi="Times New Roman" w:cs="Times New Roman"/>
          <w:sz w:val="24"/>
          <w:szCs w:val="24"/>
        </w:rPr>
        <w:t>(</w:t>
      </w:r>
      <w:r w:rsidR="00CC3278" w:rsidRPr="00B87A3A">
        <w:rPr>
          <w:rFonts w:ascii="Times New Roman" w:hAnsi="Times New Roman" w:cs="Times New Roman"/>
          <w:sz w:val="24"/>
          <w:szCs w:val="24"/>
          <w:lang w:val="bg-BG"/>
        </w:rPr>
        <w:t>КМ</w:t>
      </w:r>
      <w:r w:rsidR="00CC3278" w:rsidRPr="00B87A3A">
        <w:rPr>
          <w:rFonts w:ascii="Times New Roman" w:hAnsi="Times New Roman" w:cs="Times New Roman"/>
          <w:sz w:val="24"/>
          <w:szCs w:val="24"/>
        </w:rPr>
        <w:t>)</w:t>
      </w:r>
      <w:r w:rsidRPr="00B87A3A">
        <w:rPr>
          <w:rFonts w:ascii="Times New Roman" w:hAnsi="Times New Roman" w:cs="Times New Roman"/>
          <w:sz w:val="24"/>
          <w:szCs w:val="24"/>
          <w:lang w:val="bg-BG"/>
        </w:rPr>
        <w:t xml:space="preserve"> по изпълнение на групата С.З./Колеви и е още една гаранция за правото на пострадалото лице на ефективен наказателен процес.</w:t>
      </w:r>
    </w:p>
    <w:p w:rsidR="00482C5F" w:rsidRPr="00B87A3A" w:rsidRDefault="00482C5F" w:rsidP="00B87A3A">
      <w:pPr>
        <w:pStyle w:val="ListParagraph"/>
        <w:spacing w:line="276" w:lineRule="auto"/>
        <w:ind w:left="0" w:firstLine="567"/>
        <w:jc w:val="both"/>
        <w:rPr>
          <w:rFonts w:ascii="Times New Roman" w:hAnsi="Times New Roman" w:cs="Times New Roman"/>
          <w:sz w:val="24"/>
          <w:szCs w:val="24"/>
          <w:lang w:val="bg-BG"/>
        </w:rPr>
      </w:pPr>
      <w:r w:rsidRPr="00B87A3A">
        <w:rPr>
          <w:rFonts w:ascii="Times New Roman" w:hAnsi="Times New Roman" w:cs="Times New Roman"/>
          <w:sz w:val="24"/>
          <w:szCs w:val="24"/>
          <w:lang w:val="bg-BG"/>
        </w:rPr>
        <w:t>Предоставянето на такова средство за защита на пострадалите при условия, съобразени с този етап на производството</w:t>
      </w:r>
      <w:r w:rsidR="005071EC">
        <w:rPr>
          <w:rFonts w:ascii="Times New Roman" w:hAnsi="Times New Roman" w:cs="Times New Roman"/>
          <w:sz w:val="24"/>
          <w:szCs w:val="24"/>
          <w:lang w:val="bg-BG"/>
        </w:rPr>
        <w:t>,</w:t>
      </w:r>
      <w:r w:rsidRPr="00B87A3A">
        <w:rPr>
          <w:rFonts w:ascii="Times New Roman" w:hAnsi="Times New Roman" w:cs="Times New Roman"/>
          <w:sz w:val="24"/>
          <w:szCs w:val="24"/>
          <w:lang w:val="bg-BG"/>
        </w:rPr>
        <w:t xml:space="preserve"> е важна гаранция, тъй като необходимостта от ускорително средство за защита, за да се гарантира, че действията по разследването се извършват своевременно, остава, дори ако съществуват обективни трудности за установяване на заподозрян или привличане на обвиняем</w:t>
      </w:r>
      <w:r w:rsidRPr="00B87A3A">
        <w:rPr>
          <w:rStyle w:val="FootnoteReference"/>
          <w:rFonts w:ascii="Times New Roman" w:hAnsi="Times New Roman" w:cs="Times New Roman"/>
          <w:sz w:val="24"/>
          <w:szCs w:val="24"/>
        </w:rPr>
        <w:footnoteReference w:id="3"/>
      </w:r>
      <w:r w:rsidRPr="00B87A3A">
        <w:rPr>
          <w:rFonts w:ascii="Times New Roman" w:hAnsi="Times New Roman" w:cs="Times New Roman"/>
          <w:sz w:val="24"/>
          <w:szCs w:val="24"/>
          <w:lang w:val="bg-BG"/>
        </w:rPr>
        <w:t>. Тази мярка е оценена положително и от КМ при последното гледане на делата С.З</w:t>
      </w:r>
      <w:r w:rsidR="005071EC">
        <w:rPr>
          <w:rFonts w:ascii="Times New Roman" w:hAnsi="Times New Roman" w:cs="Times New Roman"/>
          <w:sz w:val="24"/>
          <w:szCs w:val="24"/>
          <w:lang w:val="bg-BG"/>
        </w:rPr>
        <w:t xml:space="preserve">. </w:t>
      </w:r>
      <w:r w:rsidRPr="00B87A3A">
        <w:rPr>
          <w:rFonts w:ascii="Times New Roman" w:hAnsi="Times New Roman" w:cs="Times New Roman"/>
          <w:sz w:val="24"/>
          <w:szCs w:val="24"/>
          <w:lang w:val="bg-BG"/>
        </w:rPr>
        <w:t xml:space="preserve">Колеви през юни 2022 г. </w:t>
      </w:r>
      <w:r w:rsidRPr="00B87A3A">
        <w:rPr>
          <w:rStyle w:val="FootnoteReference"/>
          <w:rFonts w:ascii="Times New Roman" w:hAnsi="Times New Roman" w:cs="Times New Roman"/>
          <w:sz w:val="24"/>
          <w:szCs w:val="24"/>
        </w:rPr>
        <w:footnoteReference w:id="4"/>
      </w:r>
    </w:p>
    <w:p w:rsidR="00482C5F" w:rsidRPr="00B87A3A" w:rsidRDefault="00482C5F" w:rsidP="00B87A3A">
      <w:pPr>
        <w:pStyle w:val="ListParagraph"/>
        <w:spacing w:line="276" w:lineRule="auto"/>
        <w:ind w:left="0" w:firstLine="567"/>
        <w:jc w:val="both"/>
        <w:rPr>
          <w:rFonts w:ascii="Times New Roman" w:hAnsi="Times New Roman" w:cs="Times New Roman"/>
          <w:sz w:val="24"/>
          <w:szCs w:val="24"/>
          <w:lang w:val="bg-BG"/>
        </w:rPr>
      </w:pPr>
      <w:r w:rsidRPr="00B87A3A">
        <w:rPr>
          <w:rFonts w:ascii="Times New Roman" w:hAnsi="Times New Roman" w:cs="Times New Roman"/>
          <w:sz w:val="24"/>
          <w:szCs w:val="24"/>
          <w:lang w:val="bg-BG"/>
        </w:rPr>
        <w:t>Ускорителното средство се явява гаранция за пострадалия при бездействието да се повдигне обвинение или съзнателно и</w:t>
      </w:r>
      <w:r w:rsidR="00892500" w:rsidRPr="00B87A3A">
        <w:rPr>
          <w:rFonts w:ascii="Times New Roman" w:hAnsi="Times New Roman" w:cs="Times New Roman"/>
          <w:sz w:val="24"/>
          <w:szCs w:val="24"/>
          <w:lang w:val="bg-BG"/>
        </w:rPr>
        <w:t xml:space="preserve">гнориране на определена версия, като гаранциите са в следните насоки – </w:t>
      </w:r>
      <w:r w:rsidRPr="00B87A3A">
        <w:rPr>
          <w:rFonts w:ascii="Times New Roman" w:hAnsi="Times New Roman" w:cs="Times New Roman"/>
          <w:sz w:val="24"/>
          <w:szCs w:val="24"/>
          <w:lang w:val="bg-BG"/>
        </w:rPr>
        <w:t xml:space="preserve">разширяване </w:t>
      </w:r>
      <w:r w:rsidR="005071EC">
        <w:rPr>
          <w:rFonts w:ascii="Times New Roman" w:hAnsi="Times New Roman" w:cs="Times New Roman"/>
          <w:sz w:val="24"/>
          <w:szCs w:val="24"/>
          <w:lang w:val="bg-BG"/>
        </w:rPr>
        <w:t xml:space="preserve">на </w:t>
      </w:r>
      <w:r w:rsidRPr="00B87A3A">
        <w:rPr>
          <w:rFonts w:ascii="Times New Roman" w:hAnsi="Times New Roman" w:cs="Times New Roman"/>
          <w:sz w:val="24"/>
          <w:szCs w:val="24"/>
          <w:lang w:val="bg-BG"/>
        </w:rPr>
        <w:t>кръга на субектите, които могат да искат проверка от съда на срочността и качеството на производството</w:t>
      </w:r>
      <w:r w:rsidR="000A10F9">
        <w:rPr>
          <w:rFonts w:ascii="Times New Roman" w:hAnsi="Times New Roman" w:cs="Times New Roman"/>
          <w:sz w:val="24"/>
          <w:szCs w:val="24"/>
          <w:lang w:val="bg-BG"/>
        </w:rPr>
        <w:t>,</w:t>
      </w:r>
      <w:r w:rsidRPr="00B87A3A">
        <w:rPr>
          <w:rFonts w:ascii="Times New Roman" w:hAnsi="Times New Roman" w:cs="Times New Roman"/>
          <w:sz w:val="24"/>
          <w:szCs w:val="24"/>
          <w:lang w:val="bg-BG"/>
        </w:rPr>
        <w:t xml:space="preserve"> дори и</w:t>
      </w:r>
      <w:r w:rsidR="00892500" w:rsidRPr="00B87A3A">
        <w:rPr>
          <w:rFonts w:ascii="Times New Roman" w:hAnsi="Times New Roman" w:cs="Times New Roman"/>
          <w:sz w:val="24"/>
          <w:szCs w:val="24"/>
          <w:lang w:val="bg-BG"/>
        </w:rPr>
        <w:t xml:space="preserve"> в случаите, когато няма</w:t>
      </w:r>
      <w:r w:rsidRPr="00B87A3A">
        <w:rPr>
          <w:rFonts w:ascii="Times New Roman" w:hAnsi="Times New Roman" w:cs="Times New Roman"/>
          <w:sz w:val="24"/>
          <w:szCs w:val="24"/>
          <w:lang w:val="bg-BG"/>
        </w:rPr>
        <w:t xml:space="preserve"> привлечен обвиняем;</w:t>
      </w:r>
      <w:r w:rsidR="00892500" w:rsidRPr="00B87A3A">
        <w:rPr>
          <w:rFonts w:ascii="Times New Roman" w:hAnsi="Times New Roman" w:cs="Times New Roman"/>
          <w:sz w:val="24"/>
          <w:szCs w:val="24"/>
          <w:lang w:val="bg-BG"/>
        </w:rPr>
        <w:t xml:space="preserve"> п</w:t>
      </w:r>
      <w:r w:rsidRPr="00B87A3A">
        <w:rPr>
          <w:rFonts w:ascii="Times New Roman" w:hAnsi="Times New Roman" w:cs="Times New Roman"/>
          <w:sz w:val="24"/>
          <w:szCs w:val="24"/>
          <w:lang w:val="bg-BG"/>
        </w:rPr>
        <w:t xml:space="preserve">редвиждане на възможност съдът да може да дава задължителни указания относно прилагането на закона, което да направи ускорителното средство реално ефективно.   </w:t>
      </w:r>
    </w:p>
    <w:p w:rsidR="00601DAA" w:rsidRPr="00B87A3A" w:rsidRDefault="00601DAA" w:rsidP="00B87A3A">
      <w:pPr>
        <w:pStyle w:val="ListParagraph"/>
        <w:spacing w:line="276" w:lineRule="auto"/>
        <w:ind w:left="0" w:firstLine="567"/>
        <w:jc w:val="both"/>
        <w:rPr>
          <w:rFonts w:ascii="Times New Roman" w:hAnsi="Times New Roman" w:cs="Times New Roman"/>
          <w:sz w:val="24"/>
          <w:szCs w:val="24"/>
          <w:lang w:val="bg-BG"/>
        </w:rPr>
      </w:pPr>
    </w:p>
    <w:p w:rsidR="00601DAA" w:rsidRPr="00B87A3A" w:rsidRDefault="00601DAA" w:rsidP="00B87A3A">
      <w:pPr>
        <w:pStyle w:val="ListParagraph"/>
        <w:spacing w:line="276" w:lineRule="auto"/>
        <w:ind w:left="0" w:firstLine="567"/>
        <w:jc w:val="both"/>
        <w:rPr>
          <w:rFonts w:ascii="Times New Roman" w:hAnsi="Times New Roman" w:cs="Times New Roman"/>
          <w:sz w:val="24"/>
          <w:szCs w:val="24"/>
          <w:lang w:val="bg-BG"/>
        </w:rPr>
      </w:pPr>
      <w:r w:rsidRPr="00B87A3A">
        <w:rPr>
          <w:rFonts w:ascii="Times New Roman" w:hAnsi="Times New Roman" w:cs="Times New Roman"/>
          <w:b/>
          <w:sz w:val="24"/>
          <w:szCs w:val="24"/>
          <w:lang w:val="bg-BG"/>
        </w:rPr>
        <w:lastRenderedPageBreak/>
        <w:t>4.</w:t>
      </w:r>
      <w:r w:rsidRPr="00B87A3A">
        <w:rPr>
          <w:rFonts w:ascii="Times New Roman" w:hAnsi="Times New Roman" w:cs="Times New Roman"/>
          <w:sz w:val="24"/>
          <w:szCs w:val="24"/>
          <w:lang w:val="bg-BG"/>
        </w:rPr>
        <w:t xml:space="preserve">  </w:t>
      </w:r>
      <w:r w:rsidRPr="00B87A3A">
        <w:rPr>
          <w:rFonts w:ascii="Times New Roman" w:hAnsi="Times New Roman" w:cs="Times New Roman"/>
          <w:b/>
          <w:sz w:val="24"/>
          <w:szCs w:val="24"/>
          <w:lang w:val="bg-BG"/>
        </w:rPr>
        <w:t xml:space="preserve">Разширяване на </w:t>
      </w:r>
      <w:r w:rsidR="00344113" w:rsidRPr="00B87A3A">
        <w:rPr>
          <w:rFonts w:ascii="Times New Roman" w:hAnsi="Times New Roman" w:cs="Times New Roman"/>
          <w:b/>
          <w:sz w:val="24"/>
          <w:szCs w:val="24"/>
          <w:lang w:val="bg-BG"/>
        </w:rPr>
        <w:t>съдеб</w:t>
      </w:r>
      <w:r w:rsidR="00344113" w:rsidRPr="00B87A3A">
        <w:rPr>
          <w:rFonts w:ascii="Times New Roman" w:hAnsi="Times New Roman" w:cs="Times New Roman"/>
          <w:b/>
          <w:strike/>
          <w:sz w:val="24"/>
          <w:szCs w:val="24"/>
          <w:lang w:val="bg-BG"/>
        </w:rPr>
        <w:t>н</w:t>
      </w:r>
      <w:r w:rsidR="00344113" w:rsidRPr="00B87A3A">
        <w:rPr>
          <w:rFonts w:ascii="Times New Roman" w:hAnsi="Times New Roman" w:cs="Times New Roman"/>
          <w:b/>
          <w:sz w:val="24"/>
          <w:szCs w:val="24"/>
          <w:lang w:val="bg-BG"/>
        </w:rPr>
        <w:t>и</w:t>
      </w:r>
      <w:r w:rsidR="00344113" w:rsidRPr="00B87A3A">
        <w:rPr>
          <w:rFonts w:ascii="Times New Roman" w:eastAsia="Courier New" w:hAnsi="Times New Roman" w:cs="Times New Roman"/>
          <w:b/>
          <w:sz w:val="24"/>
          <w:szCs w:val="24"/>
          <w:lang w:val="bg-BG" w:bidi="en-US"/>
        </w:rPr>
        <w:t>я</w:t>
      </w:r>
      <w:r w:rsidRPr="00B87A3A">
        <w:rPr>
          <w:rFonts w:ascii="Times New Roman" w:hAnsi="Times New Roman" w:cs="Times New Roman"/>
          <w:b/>
          <w:sz w:val="24"/>
          <w:szCs w:val="24"/>
          <w:lang w:val="bg-BG"/>
        </w:rPr>
        <w:t xml:space="preserve"> контрол</w:t>
      </w:r>
      <w:r w:rsidRPr="00B87A3A">
        <w:rPr>
          <w:rFonts w:ascii="Times New Roman" w:hAnsi="Times New Roman" w:cs="Times New Roman"/>
          <w:sz w:val="24"/>
          <w:szCs w:val="24"/>
          <w:lang w:val="bg-BG"/>
        </w:rPr>
        <w:t xml:space="preserve"> </w:t>
      </w:r>
      <w:r w:rsidRPr="00B87A3A">
        <w:rPr>
          <w:rFonts w:ascii="Times New Roman" w:eastAsia="Courier New" w:hAnsi="Times New Roman" w:cs="Times New Roman"/>
          <w:sz w:val="24"/>
          <w:szCs w:val="24"/>
          <w:lang w:val="bg-BG" w:bidi="en-US"/>
        </w:rPr>
        <w:t xml:space="preserve">в случаите на прекратяване или спиране на разследвания </w:t>
      </w:r>
      <w:r w:rsidR="005F2A2A" w:rsidRPr="00B87A3A">
        <w:rPr>
          <w:rFonts w:ascii="Times New Roman" w:eastAsia="Courier New" w:hAnsi="Times New Roman" w:cs="Times New Roman"/>
          <w:sz w:val="24"/>
          <w:szCs w:val="24"/>
          <w:lang w:val="bg-BG" w:bidi="en-US"/>
        </w:rPr>
        <w:t xml:space="preserve">от прокурор </w:t>
      </w:r>
      <w:r w:rsidRPr="00B87A3A">
        <w:rPr>
          <w:rFonts w:ascii="Times New Roman" w:eastAsia="Courier New" w:hAnsi="Times New Roman" w:cs="Times New Roman"/>
          <w:sz w:val="24"/>
          <w:szCs w:val="24"/>
          <w:lang w:val="bg-BG" w:bidi="en-US"/>
        </w:rPr>
        <w:t>чрез предоставяне на правото да се иска такъ</w:t>
      </w:r>
      <w:r w:rsidR="005F2A2A" w:rsidRPr="00B87A3A">
        <w:rPr>
          <w:rFonts w:ascii="Times New Roman" w:eastAsia="Courier New" w:hAnsi="Times New Roman" w:cs="Times New Roman"/>
          <w:sz w:val="24"/>
          <w:szCs w:val="24"/>
          <w:lang w:val="bg-BG" w:bidi="en-US"/>
        </w:rPr>
        <w:t>в контрол</w:t>
      </w:r>
      <w:r w:rsidRPr="00B87A3A">
        <w:rPr>
          <w:rFonts w:ascii="Times New Roman" w:eastAsia="Courier New" w:hAnsi="Times New Roman" w:cs="Times New Roman"/>
          <w:sz w:val="24"/>
          <w:szCs w:val="24"/>
          <w:lang w:val="bg-BG" w:bidi="en-US"/>
        </w:rPr>
        <w:t xml:space="preserve"> на държавния орган, който е подал сигнала за съобщаване на разследв</w:t>
      </w:r>
      <w:r w:rsidR="005F2A2A" w:rsidRPr="00B87A3A">
        <w:rPr>
          <w:rFonts w:ascii="Times New Roman" w:eastAsia="Courier New" w:hAnsi="Times New Roman" w:cs="Times New Roman"/>
          <w:sz w:val="24"/>
          <w:szCs w:val="24"/>
          <w:lang w:val="bg-BG" w:bidi="en-US"/>
        </w:rPr>
        <w:t>аното престъпление, както и на</w:t>
      </w:r>
      <w:r w:rsidRPr="00B87A3A">
        <w:rPr>
          <w:rFonts w:ascii="Times New Roman" w:hAnsi="Times New Roman" w:cs="Times New Roman"/>
          <w:sz w:val="24"/>
          <w:szCs w:val="24"/>
          <w:lang w:val="bg-BG"/>
        </w:rPr>
        <w:t xml:space="preserve"> </w:t>
      </w:r>
      <w:r w:rsidRPr="00B87A3A">
        <w:rPr>
          <w:rFonts w:ascii="Times New Roman" w:eastAsia="Courier New" w:hAnsi="Times New Roman" w:cs="Times New Roman"/>
          <w:sz w:val="24"/>
          <w:szCs w:val="24"/>
          <w:lang w:val="bg-BG" w:bidi="en-US"/>
        </w:rPr>
        <w:t>Комисията за противодействие на</w:t>
      </w:r>
      <w:r w:rsidR="00344113">
        <w:rPr>
          <w:rFonts w:ascii="Times New Roman" w:eastAsia="Courier New" w:hAnsi="Times New Roman" w:cs="Times New Roman"/>
          <w:sz w:val="24"/>
          <w:szCs w:val="24"/>
          <w:lang w:val="bg-BG" w:bidi="en-US"/>
        </w:rPr>
        <w:t xml:space="preserve"> </w:t>
      </w:r>
      <w:r w:rsidRPr="00B87A3A">
        <w:rPr>
          <w:rFonts w:ascii="Times New Roman" w:eastAsia="Courier New" w:hAnsi="Times New Roman" w:cs="Times New Roman"/>
          <w:sz w:val="24"/>
          <w:szCs w:val="24"/>
          <w:lang w:val="bg-BG" w:bidi="en-US"/>
        </w:rPr>
        <w:t>к</w:t>
      </w:r>
      <w:r w:rsidR="00344113">
        <w:rPr>
          <w:rFonts w:ascii="Times New Roman" w:eastAsia="Courier New" w:hAnsi="Times New Roman" w:cs="Times New Roman"/>
          <w:sz w:val="24"/>
          <w:szCs w:val="24"/>
          <w:lang w:val="bg-BG" w:bidi="en-US"/>
        </w:rPr>
        <w:t>орупцията</w:t>
      </w:r>
      <w:bookmarkStart w:id="0" w:name="_GoBack"/>
      <w:bookmarkEnd w:id="0"/>
      <w:r w:rsidRPr="00B87A3A">
        <w:rPr>
          <w:rFonts w:ascii="Times New Roman" w:eastAsia="Courier New" w:hAnsi="Times New Roman" w:cs="Times New Roman"/>
          <w:sz w:val="24"/>
          <w:szCs w:val="24"/>
          <w:lang w:val="bg-BG" w:bidi="en-US"/>
        </w:rPr>
        <w:t>, Комисията за отнемане на незаконно придобито</w:t>
      </w:r>
      <w:r w:rsidR="007C5EF8">
        <w:rPr>
          <w:rFonts w:ascii="Times New Roman" w:eastAsia="Courier New" w:hAnsi="Times New Roman" w:cs="Times New Roman"/>
          <w:sz w:val="24"/>
          <w:szCs w:val="24"/>
          <w:lang w:val="bg-BG" w:bidi="en-US"/>
        </w:rPr>
        <w:t>то</w:t>
      </w:r>
      <w:r w:rsidRPr="00B87A3A">
        <w:rPr>
          <w:rFonts w:ascii="Times New Roman" w:eastAsia="Courier New" w:hAnsi="Times New Roman" w:cs="Times New Roman"/>
          <w:sz w:val="24"/>
          <w:szCs w:val="24"/>
          <w:lang w:val="bg-BG" w:bidi="en-US"/>
        </w:rPr>
        <w:t xml:space="preserve"> имущество, Агенцията за държавна финансова инспекция и Сметната палата, дори ако разследването не е започнало вследствие на техен сигнал</w:t>
      </w:r>
      <w:r w:rsidR="005F2A2A" w:rsidRPr="00B87A3A">
        <w:rPr>
          <w:rFonts w:ascii="Times New Roman" w:eastAsia="Courier New" w:hAnsi="Times New Roman" w:cs="Times New Roman"/>
          <w:sz w:val="24"/>
          <w:szCs w:val="24"/>
          <w:lang w:val="bg-BG" w:bidi="en-US"/>
        </w:rPr>
        <w:t>.</w:t>
      </w:r>
    </w:p>
    <w:p w:rsidR="00601DAA" w:rsidRPr="00B87A3A" w:rsidRDefault="005F2A2A" w:rsidP="00B87A3A">
      <w:pPr>
        <w:pStyle w:val="ListParagraph"/>
        <w:spacing w:line="276" w:lineRule="auto"/>
        <w:ind w:left="0" w:firstLine="567"/>
        <w:jc w:val="both"/>
        <w:rPr>
          <w:rFonts w:ascii="Times New Roman" w:hAnsi="Times New Roman" w:cs="Times New Roman"/>
          <w:sz w:val="24"/>
          <w:szCs w:val="24"/>
          <w:lang w:val="bg-BG"/>
        </w:rPr>
      </w:pPr>
      <w:r w:rsidRPr="00B87A3A">
        <w:rPr>
          <w:rFonts w:ascii="Times New Roman" w:hAnsi="Times New Roman" w:cs="Times New Roman"/>
          <w:sz w:val="24"/>
          <w:szCs w:val="24"/>
          <w:lang w:val="bg-BG"/>
        </w:rPr>
        <w:t>Корупционните престъпления – длъжностно присвояване, умишлена безстопанственост, сключване на неизгодна сделка, отделни престъпления по служба, подкуп, включително посредничество към подкуп, търговия с влияние, както и такива, свързани с тях</w:t>
      </w:r>
      <w:r w:rsidR="00781BBB">
        <w:rPr>
          <w:rFonts w:ascii="Times New Roman" w:hAnsi="Times New Roman" w:cs="Times New Roman"/>
          <w:sz w:val="24"/>
          <w:szCs w:val="24"/>
          <w:lang w:val="bg-BG"/>
        </w:rPr>
        <w:t>,</w:t>
      </w:r>
      <w:r w:rsidRPr="00B87A3A">
        <w:rPr>
          <w:rFonts w:ascii="Times New Roman" w:hAnsi="Times New Roman" w:cs="Times New Roman"/>
          <w:sz w:val="24"/>
          <w:szCs w:val="24"/>
          <w:lang w:val="bg-BG"/>
        </w:rPr>
        <w:t xml:space="preserve"> като изпиране на пари, отделни престъпления против финансовата и данъчната система, документни престъпления</w:t>
      </w:r>
      <w:r w:rsidR="00781BBB">
        <w:rPr>
          <w:rFonts w:ascii="Times New Roman" w:hAnsi="Times New Roman" w:cs="Times New Roman"/>
          <w:sz w:val="24"/>
          <w:szCs w:val="24"/>
          <w:lang w:val="bg-BG"/>
        </w:rPr>
        <w:t xml:space="preserve"> </w:t>
      </w:r>
      <w:r w:rsidRPr="00B87A3A">
        <w:rPr>
          <w:rFonts w:ascii="Times New Roman" w:hAnsi="Times New Roman" w:cs="Times New Roman"/>
          <w:sz w:val="24"/>
          <w:szCs w:val="24"/>
          <w:lang w:val="bg-BG"/>
        </w:rPr>
        <w:t>са неразривно свързани с упражняването на власт, критериите за определянето им като такива се отнасят както до качеството на субекта – длъжностно лице</w:t>
      </w:r>
      <w:r w:rsidR="00781BBB">
        <w:rPr>
          <w:rFonts w:ascii="Times New Roman" w:hAnsi="Times New Roman" w:cs="Times New Roman"/>
          <w:sz w:val="24"/>
          <w:szCs w:val="24"/>
          <w:lang w:val="bg-BG"/>
        </w:rPr>
        <w:t>,</w:t>
      </w:r>
      <w:r w:rsidRPr="00B87A3A">
        <w:rPr>
          <w:rFonts w:ascii="Times New Roman" w:hAnsi="Times New Roman" w:cs="Times New Roman"/>
          <w:sz w:val="24"/>
          <w:szCs w:val="24"/>
          <w:lang w:val="bg-BG"/>
        </w:rPr>
        <w:t xml:space="preserve"> и до користния мотив за извършването им, така и до обществената сфера, която съответното престъпление засяга – не само дейността на държавния апарат, но и стопанския сектор, финансовата и данъчната системи и др.  </w:t>
      </w:r>
    </w:p>
    <w:p w:rsidR="00482C5F" w:rsidRDefault="005F2A2A" w:rsidP="00B87A3A">
      <w:pPr>
        <w:pStyle w:val="ListParagraph"/>
        <w:spacing w:line="276" w:lineRule="auto"/>
        <w:ind w:left="0" w:firstLine="567"/>
        <w:jc w:val="both"/>
        <w:rPr>
          <w:rFonts w:ascii="Times New Roman" w:hAnsi="Times New Roman" w:cs="Times New Roman"/>
          <w:sz w:val="24"/>
          <w:szCs w:val="24"/>
          <w:lang w:val="bg-BG"/>
        </w:rPr>
      </w:pPr>
      <w:r w:rsidRPr="00B87A3A">
        <w:rPr>
          <w:rFonts w:ascii="Times New Roman" w:hAnsi="Times New Roman" w:cs="Times New Roman"/>
          <w:sz w:val="24"/>
          <w:szCs w:val="24"/>
          <w:lang w:val="bg-BG"/>
        </w:rPr>
        <w:t>Основни последици на тези престъпления са вредата за обществения интерес и най-вече разрушаването на доверието в държавните институции, поради което се предлага</w:t>
      </w:r>
      <w:r w:rsidR="00D24310" w:rsidRPr="00B87A3A">
        <w:rPr>
          <w:rFonts w:ascii="Times New Roman" w:hAnsi="Times New Roman" w:cs="Times New Roman"/>
          <w:sz w:val="24"/>
          <w:szCs w:val="24"/>
          <w:lang w:val="bg-BG"/>
        </w:rPr>
        <w:t xml:space="preserve"> създаването на чл. 243а и 244а</w:t>
      </w:r>
      <w:r w:rsidR="004849A2" w:rsidRPr="00B87A3A">
        <w:rPr>
          <w:rFonts w:ascii="Times New Roman" w:hAnsi="Times New Roman" w:cs="Times New Roman"/>
          <w:sz w:val="24"/>
          <w:szCs w:val="24"/>
          <w:lang w:val="bg-BG"/>
        </w:rPr>
        <w:t xml:space="preserve">, като се предвижда възможност </w:t>
      </w:r>
      <w:r w:rsidR="004849A2" w:rsidRPr="00B87A3A">
        <w:rPr>
          <w:rFonts w:ascii="Times New Roman" w:eastAsia="Courier New" w:hAnsi="Times New Roman" w:cs="Times New Roman"/>
          <w:sz w:val="24"/>
          <w:szCs w:val="24"/>
          <w:lang w:val="bg-BG" w:bidi="en-US"/>
        </w:rPr>
        <w:t>в случаите на прекратяване или спиране на разследвания от прокурор, правото на държавния орган, който е подал сигнала за съобщаване на разследваното престъпление, както и на</w:t>
      </w:r>
      <w:r w:rsidR="004849A2" w:rsidRPr="00B87A3A">
        <w:rPr>
          <w:rFonts w:ascii="Times New Roman" w:hAnsi="Times New Roman" w:cs="Times New Roman"/>
          <w:sz w:val="24"/>
          <w:szCs w:val="24"/>
          <w:lang w:val="bg-BG"/>
        </w:rPr>
        <w:t xml:space="preserve"> </w:t>
      </w:r>
      <w:r w:rsidR="004849A2" w:rsidRPr="00B87A3A">
        <w:rPr>
          <w:rFonts w:ascii="Times New Roman" w:eastAsia="Courier New" w:hAnsi="Times New Roman" w:cs="Times New Roman"/>
          <w:sz w:val="24"/>
          <w:szCs w:val="24"/>
          <w:lang w:val="bg-BG" w:bidi="en-US"/>
        </w:rPr>
        <w:t>Комисията за противодействие на</w:t>
      </w:r>
      <w:r w:rsidR="00A324EF">
        <w:rPr>
          <w:rFonts w:ascii="Times New Roman" w:eastAsia="Courier New" w:hAnsi="Times New Roman" w:cs="Times New Roman"/>
          <w:sz w:val="24"/>
          <w:szCs w:val="24"/>
          <w:lang w:val="bg-BG" w:bidi="en-US"/>
        </w:rPr>
        <w:t xml:space="preserve"> </w:t>
      </w:r>
      <w:r w:rsidR="004849A2" w:rsidRPr="00B87A3A">
        <w:rPr>
          <w:rFonts w:ascii="Times New Roman" w:eastAsia="Courier New" w:hAnsi="Times New Roman" w:cs="Times New Roman"/>
          <w:sz w:val="24"/>
          <w:szCs w:val="24"/>
          <w:lang w:val="bg-BG" w:bidi="en-US"/>
        </w:rPr>
        <w:t>корупцията, Комисията за отнемане на незаконно придобито</w:t>
      </w:r>
      <w:r w:rsidR="00FD1938">
        <w:rPr>
          <w:rFonts w:ascii="Times New Roman" w:eastAsia="Courier New" w:hAnsi="Times New Roman" w:cs="Times New Roman"/>
          <w:sz w:val="24"/>
          <w:szCs w:val="24"/>
          <w:lang w:val="bg-BG" w:bidi="en-US"/>
        </w:rPr>
        <w:t>то</w:t>
      </w:r>
      <w:r w:rsidR="004849A2" w:rsidRPr="00B87A3A">
        <w:rPr>
          <w:rFonts w:ascii="Times New Roman" w:eastAsia="Courier New" w:hAnsi="Times New Roman" w:cs="Times New Roman"/>
          <w:sz w:val="24"/>
          <w:szCs w:val="24"/>
          <w:lang w:val="bg-BG" w:bidi="en-US"/>
        </w:rPr>
        <w:t xml:space="preserve"> имущество, Агенцията за държавна финансова инспекция и Сметната палата, дори ако разследването не е започнало вследствие на техен сигнал, да могат да обжалват </w:t>
      </w:r>
      <w:r w:rsidR="004849A2" w:rsidRPr="00B87A3A">
        <w:rPr>
          <w:rFonts w:ascii="Times New Roman" w:hAnsi="Times New Roman" w:cs="Times New Roman"/>
          <w:sz w:val="24"/>
          <w:szCs w:val="24"/>
          <w:lang w:val="bg-BG"/>
        </w:rPr>
        <w:t>пред съответния първоинстанционен съд актовете за прекратяване или спиране.</w:t>
      </w:r>
    </w:p>
    <w:p w:rsidR="00A324EF" w:rsidRPr="00B87A3A" w:rsidRDefault="00A324EF" w:rsidP="00B87A3A">
      <w:pPr>
        <w:pStyle w:val="ListParagraph"/>
        <w:spacing w:line="276" w:lineRule="auto"/>
        <w:ind w:left="0" w:firstLine="567"/>
        <w:jc w:val="both"/>
        <w:rPr>
          <w:rFonts w:ascii="Times New Roman" w:hAnsi="Times New Roman" w:cs="Times New Roman"/>
          <w:sz w:val="24"/>
          <w:szCs w:val="24"/>
          <w:lang w:val="bg-BG"/>
        </w:rPr>
      </w:pPr>
      <w:r w:rsidRPr="00B55E7C">
        <w:rPr>
          <w:rFonts w:ascii="Times New Roman" w:hAnsi="Times New Roman" w:cs="Times New Roman"/>
          <w:sz w:val="24"/>
          <w:szCs w:val="24"/>
          <w:lang w:val="bg-BG"/>
        </w:rPr>
        <w:t>Законопроектът предлага изменение и в разпоредбата на чл. 411д</w:t>
      </w:r>
      <w:r w:rsidR="00BA5A40" w:rsidRPr="00B55E7C">
        <w:rPr>
          <w:rFonts w:ascii="Times New Roman" w:hAnsi="Times New Roman" w:cs="Times New Roman"/>
          <w:sz w:val="24"/>
          <w:szCs w:val="24"/>
          <w:lang w:val="bg-BG"/>
        </w:rPr>
        <w:t>,</w:t>
      </w:r>
      <w:r w:rsidRPr="00B55E7C">
        <w:rPr>
          <w:rFonts w:ascii="Times New Roman" w:hAnsi="Times New Roman" w:cs="Times New Roman"/>
          <w:sz w:val="24"/>
          <w:szCs w:val="24"/>
          <w:lang w:val="bg-BG"/>
        </w:rPr>
        <w:t xml:space="preserve"> което има за цел да отстрани допусната неточност, </w:t>
      </w:r>
      <w:r w:rsidR="00BA5A40" w:rsidRPr="00B55E7C">
        <w:rPr>
          <w:rFonts w:ascii="Times New Roman" w:hAnsi="Times New Roman" w:cs="Times New Roman"/>
          <w:sz w:val="24"/>
          <w:szCs w:val="24"/>
          <w:lang w:val="bg-BG"/>
        </w:rPr>
        <w:t>а именно</w:t>
      </w:r>
      <w:r w:rsidRPr="00B55E7C">
        <w:rPr>
          <w:rFonts w:ascii="Times New Roman" w:hAnsi="Times New Roman" w:cs="Times New Roman"/>
          <w:sz w:val="24"/>
          <w:szCs w:val="24"/>
          <w:lang w:val="bg-BG"/>
        </w:rPr>
        <w:t xml:space="preserve"> препраща</w:t>
      </w:r>
      <w:r w:rsidR="00BA5A40" w:rsidRPr="00B55E7C">
        <w:rPr>
          <w:rFonts w:ascii="Times New Roman" w:hAnsi="Times New Roman" w:cs="Times New Roman"/>
          <w:sz w:val="24"/>
          <w:szCs w:val="24"/>
          <w:lang w:val="bg-BG"/>
        </w:rPr>
        <w:t>не</w:t>
      </w:r>
      <w:r w:rsidRPr="00B55E7C">
        <w:rPr>
          <w:rFonts w:ascii="Times New Roman" w:hAnsi="Times New Roman" w:cs="Times New Roman"/>
          <w:sz w:val="24"/>
          <w:szCs w:val="24"/>
          <w:lang w:val="bg-BG"/>
        </w:rPr>
        <w:t xml:space="preserve"> към чл. 243а, тъй  като с приемането на ЗИД на НПК, обн. ДВ, бр. 48 от 2023 г.</w:t>
      </w:r>
      <w:r w:rsidR="00BA5A40" w:rsidRPr="00B55E7C">
        <w:rPr>
          <w:rFonts w:ascii="Times New Roman" w:hAnsi="Times New Roman" w:cs="Times New Roman"/>
          <w:sz w:val="24"/>
          <w:szCs w:val="24"/>
          <w:lang w:val="bg-BG"/>
        </w:rPr>
        <w:t>,</w:t>
      </w:r>
      <w:r w:rsidRPr="00B55E7C">
        <w:rPr>
          <w:rFonts w:ascii="Times New Roman" w:hAnsi="Times New Roman" w:cs="Times New Roman"/>
          <w:sz w:val="24"/>
          <w:szCs w:val="24"/>
          <w:lang w:val="bg-BG"/>
        </w:rPr>
        <w:t xml:space="preserve"> предложената разпоредба на чл. 243а</w:t>
      </w:r>
      <w:r w:rsidR="00BA5A40" w:rsidRPr="00B55E7C">
        <w:rPr>
          <w:rFonts w:ascii="Times New Roman" w:hAnsi="Times New Roman" w:cs="Times New Roman"/>
          <w:sz w:val="24"/>
          <w:szCs w:val="24"/>
          <w:lang w:val="bg-BG"/>
        </w:rPr>
        <w:t xml:space="preserve"> не е приета от законодателя. Предпоставките, към които препраща нормата, се съдържат в чл. 243, ал. 10.</w:t>
      </w:r>
    </w:p>
    <w:p w:rsidR="00B87A3A" w:rsidRPr="00B87A3A" w:rsidRDefault="00B87A3A" w:rsidP="00B87A3A">
      <w:pPr>
        <w:spacing w:after="120" w:line="276" w:lineRule="auto"/>
        <w:ind w:firstLine="634"/>
        <w:jc w:val="both"/>
        <w:rPr>
          <w:rFonts w:ascii="Times New Roman" w:hAnsi="Times New Roman"/>
          <w:sz w:val="24"/>
          <w:szCs w:val="24"/>
        </w:rPr>
      </w:pPr>
      <w:r w:rsidRPr="00B87A3A">
        <w:rPr>
          <w:rFonts w:ascii="Times New Roman" w:hAnsi="Times New Roman"/>
          <w:sz w:val="24"/>
          <w:szCs w:val="24"/>
          <w:lang w:eastAsia="bg-BG"/>
        </w:rPr>
        <w:t xml:space="preserve">Законопроектът е изготвен в изпълнение </w:t>
      </w:r>
      <w:r w:rsidRPr="00B87A3A">
        <w:rPr>
          <w:rFonts w:ascii="Times New Roman" w:hAnsi="Times New Roman"/>
          <w:sz w:val="24"/>
          <w:szCs w:val="24"/>
        </w:rPr>
        <w:t>на цел: „Повишаване ефективността на наказателния процес“, мярка „Одобряване от Министерския съвет на Законопроект за изменение и допълнение на Наказателно-процесуалния кодекс, с който да се създаде възможност за разделяне на делата срещу няколко обвиняеми в съдебната фаза и да се въведе право на пострадалия да иска ускоряване на наказателното производство и преди повдигане на обвинение</w:t>
      </w:r>
      <w:r w:rsidRPr="00B87A3A">
        <w:rPr>
          <w:rFonts w:ascii="Times New Roman" w:hAnsi="Times New Roman"/>
          <w:noProof/>
          <w:sz w:val="24"/>
          <w:szCs w:val="24"/>
          <w:lang w:eastAsia="bg-BG"/>
        </w:rPr>
        <w:drawing>
          <wp:inline distT="0" distB="0" distL="0" distR="0">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B87A3A">
        <w:rPr>
          <w:rFonts w:ascii="Times New Roman" w:hAnsi="Times New Roman"/>
          <w:sz w:val="24"/>
          <w:szCs w:val="24"/>
        </w:rPr>
        <w:t xml:space="preserve">“ от Програмата за управление на Република България за периода 2025 г. – 2029 г., приета с Решение </w:t>
      </w:r>
      <w:r w:rsidR="00FD1938">
        <w:rPr>
          <w:rFonts w:ascii="Times New Roman" w:hAnsi="Times New Roman"/>
          <w:sz w:val="24"/>
          <w:szCs w:val="24"/>
        </w:rPr>
        <w:t xml:space="preserve">№ 91 </w:t>
      </w:r>
      <w:r w:rsidRPr="00B87A3A">
        <w:rPr>
          <w:rFonts w:ascii="Times New Roman" w:hAnsi="Times New Roman"/>
          <w:sz w:val="24"/>
          <w:szCs w:val="24"/>
        </w:rPr>
        <w:t>на Министерския съвет от 24 февруари 2025 г.</w:t>
      </w:r>
    </w:p>
    <w:p w:rsidR="0001095F" w:rsidRPr="00B87A3A" w:rsidRDefault="0001095F" w:rsidP="00B87A3A">
      <w:pPr>
        <w:pStyle w:val="ListParagraph"/>
        <w:spacing w:line="276" w:lineRule="auto"/>
        <w:ind w:left="0" w:firstLine="567"/>
        <w:jc w:val="both"/>
        <w:rPr>
          <w:rFonts w:ascii="Times New Roman" w:hAnsi="Times New Roman" w:cs="Times New Roman"/>
          <w:sz w:val="24"/>
          <w:szCs w:val="24"/>
          <w:lang w:val="bg-BG"/>
        </w:rPr>
      </w:pPr>
      <w:r w:rsidRPr="00B87A3A">
        <w:rPr>
          <w:rFonts w:ascii="Times New Roman" w:hAnsi="Times New Roman" w:cs="Times New Roman"/>
          <w:sz w:val="24"/>
          <w:szCs w:val="24"/>
          <w:lang w:val="bg-BG"/>
        </w:rPr>
        <w:t xml:space="preserve">Предвижда се осъществяването на дейността по законопроекта да се извършва в рамките на предвидените финансови средства на </w:t>
      </w:r>
      <w:r w:rsidR="00F27743" w:rsidRPr="00B87A3A">
        <w:rPr>
          <w:rFonts w:ascii="Times New Roman" w:hAnsi="Times New Roman" w:cs="Times New Roman"/>
          <w:sz w:val="24"/>
          <w:szCs w:val="24"/>
          <w:lang w:val="bg-BG"/>
        </w:rPr>
        <w:t>компетентните органи</w:t>
      </w:r>
      <w:r w:rsidRPr="00B87A3A">
        <w:rPr>
          <w:rFonts w:ascii="Times New Roman" w:hAnsi="Times New Roman" w:cs="Times New Roman"/>
          <w:sz w:val="24"/>
          <w:szCs w:val="24"/>
          <w:lang w:val="bg-BG"/>
        </w:rPr>
        <w:t xml:space="preserve">. </w:t>
      </w:r>
    </w:p>
    <w:p w:rsidR="0001095F" w:rsidRPr="00B87A3A" w:rsidRDefault="0001095F" w:rsidP="00B87A3A">
      <w:pPr>
        <w:pStyle w:val="ListParagraph"/>
        <w:spacing w:line="276" w:lineRule="auto"/>
        <w:ind w:left="0" w:firstLine="567"/>
        <w:jc w:val="both"/>
        <w:rPr>
          <w:rFonts w:ascii="Times New Roman" w:hAnsi="Times New Roman" w:cs="Times New Roman"/>
          <w:sz w:val="24"/>
          <w:szCs w:val="24"/>
          <w:lang w:val="bg-BG"/>
        </w:rPr>
      </w:pPr>
      <w:r w:rsidRPr="00B87A3A">
        <w:rPr>
          <w:rFonts w:ascii="Times New Roman" w:hAnsi="Times New Roman" w:cs="Times New Roman"/>
          <w:sz w:val="24"/>
          <w:szCs w:val="24"/>
          <w:lang w:val="bg-BG"/>
        </w:rPr>
        <w:t>Законопроектът не съдържа разпоредби, свързани с въ</w:t>
      </w:r>
      <w:r w:rsidR="00F27743" w:rsidRPr="00B87A3A">
        <w:rPr>
          <w:rFonts w:ascii="Times New Roman" w:hAnsi="Times New Roman" w:cs="Times New Roman"/>
          <w:sz w:val="24"/>
          <w:szCs w:val="24"/>
          <w:lang w:val="bg-BG"/>
        </w:rPr>
        <w:t>веждането на регулаторни режими или р</w:t>
      </w:r>
      <w:r w:rsidRPr="00B87A3A">
        <w:rPr>
          <w:rFonts w:ascii="Times New Roman" w:hAnsi="Times New Roman" w:cs="Times New Roman"/>
          <w:sz w:val="24"/>
          <w:szCs w:val="24"/>
          <w:lang w:val="bg-BG"/>
        </w:rPr>
        <w:t>азпоредби, въвеждащи актове на Европейския съюз, поради което не е изготвена таблица за съответствие с правото на ЕС.</w:t>
      </w:r>
    </w:p>
    <w:p w:rsidR="0001095F" w:rsidRPr="00B87A3A" w:rsidRDefault="0001095F" w:rsidP="00B87A3A">
      <w:pPr>
        <w:pStyle w:val="ListParagraph"/>
        <w:spacing w:line="276" w:lineRule="auto"/>
        <w:ind w:left="0" w:firstLine="567"/>
        <w:jc w:val="both"/>
        <w:rPr>
          <w:rFonts w:ascii="Times New Roman" w:hAnsi="Times New Roman" w:cs="Times New Roman"/>
          <w:sz w:val="24"/>
          <w:szCs w:val="24"/>
          <w:lang w:val="bg-BG"/>
        </w:rPr>
      </w:pPr>
      <w:r w:rsidRPr="00B87A3A">
        <w:rPr>
          <w:rFonts w:ascii="Times New Roman" w:hAnsi="Times New Roman" w:cs="Times New Roman"/>
          <w:sz w:val="24"/>
          <w:szCs w:val="24"/>
          <w:lang w:val="bg-BG"/>
        </w:rPr>
        <w:t>Към законопроекта е приложена справка за съответствието му с Европейската конвенция за защита на правата на човека и основните свободи и с практиката на Европейския съд по правата на човека.</w:t>
      </w:r>
    </w:p>
    <w:p w:rsidR="00655A2B" w:rsidRPr="00B87A3A" w:rsidRDefault="0001095F" w:rsidP="00B87A3A">
      <w:pPr>
        <w:pStyle w:val="ListParagraph"/>
        <w:spacing w:line="276" w:lineRule="auto"/>
        <w:ind w:left="0" w:firstLine="567"/>
        <w:jc w:val="both"/>
        <w:rPr>
          <w:rFonts w:ascii="Times New Roman" w:hAnsi="Times New Roman" w:cs="Times New Roman"/>
          <w:sz w:val="24"/>
          <w:szCs w:val="24"/>
          <w:lang w:val="bg-BG"/>
        </w:rPr>
      </w:pPr>
      <w:r w:rsidRPr="00B87A3A">
        <w:rPr>
          <w:rFonts w:ascii="Times New Roman" w:hAnsi="Times New Roman" w:cs="Times New Roman"/>
          <w:sz w:val="24"/>
          <w:szCs w:val="24"/>
          <w:lang w:val="bg-BG"/>
        </w:rPr>
        <w:lastRenderedPageBreak/>
        <w:t>Законопроектът ще бъде публикуван за провеждане на обществени консултации за срок от 14 дни с оглед на необходимостта да се предприемат спешни мерки от страна на Република Българи</w:t>
      </w:r>
      <w:r w:rsidR="00655A2B" w:rsidRPr="00B87A3A">
        <w:rPr>
          <w:rFonts w:ascii="Times New Roman" w:hAnsi="Times New Roman" w:cs="Times New Roman"/>
          <w:sz w:val="24"/>
          <w:szCs w:val="24"/>
          <w:lang w:val="bg-BG"/>
        </w:rPr>
        <w:t xml:space="preserve">я за изпълнение на </w:t>
      </w:r>
      <w:r w:rsidR="00655A2B" w:rsidRPr="00B87A3A">
        <w:rPr>
          <w:rFonts w:ascii="Times New Roman" w:eastAsiaTheme="minorEastAsia" w:hAnsi="Times New Roman" w:cs="Times New Roman"/>
          <w:sz w:val="24"/>
          <w:szCs w:val="24"/>
          <w:lang w:val="bg-BG" w:eastAsia="zh-TW"/>
        </w:rPr>
        <w:t>предвиденото в</w:t>
      </w:r>
      <w:r w:rsidR="00655A2B" w:rsidRPr="00B87A3A">
        <w:rPr>
          <w:rFonts w:ascii="Times New Roman" w:eastAsia="Calibri" w:hAnsi="Times New Roman" w:cs="Times New Roman"/>
          <w:sz w:val="24"/>
          <w:szCs w:val="24"/>
          <w:lang w:val="bg-BG"/>
        </w:rPr>
        <w:t xml:space="preserve"> Националния план за възстановяване и устойчивост (НПВУ),  в Стълб ,,Справедлива България“, Компонент ,,Бизнес среда“, буква „г“ Реформи и инвестиции, Реформа 2: ,,Противодействие на корупцията“.</w:t>
      </w:r>
    </w:p>
    <w:sectPr w:rsidR="00655A2B" w:rsidRPr="00B87A3A" w:rsidSect="006F5E9F">
      <w:footerReference w:type="default" r:id="rId9"/>
      <w:pgSz w:w="11906" w:h="16838"/>
      <w:pgMar w:top="1134" w:right="1274"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B93" w:rsidRDefault="00803B93" w:rsidP="005D1516">
      <w:pPr>
        <w:spacing w:after="0" w:line="240" w:lineRule="auto"/>
      </w:pPr>
      <w:r>
        <w:separator/>
      </w:r>
    </w:p>
  </w:endnote>
  <w:endnote w:type="continuationSeparator" w:id="0">
    <w:p w:rsidR="00803B93" w:rsidRDefault="00803B93" w:rsidP="005D1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8537302"/>
      <w:docPartObj>
        <w:docPartGallery w:val="Page Numbers (Bottom of Page)"/>
        <w:docPartUnique/>
      </w:docPartObj>
    </w:sdtPr>
    <w:sdtEndPr>
      <w:rPr>
        <w:noProof/>
      </w:rPr>
    </w:sdtEndPr>
    <w:sdtContent>
      <w:p w:rsidR="00F430A1" w:rsidRDefault="00F430A1">
        <w:pPr>
          <w:pStyle w:val="Footer"/>
          <w:jc w:val="right"/>
        </w:pPr>
        <w:r>
          <w:fldChar w:fldCharType="begin"/>
        </w:r>
        <w:r>
          <w:instrText xml:space="preserve"> PAGE   \* MERGEFORMAT </w:instrText>
        </w:r>
        <w:r>
          <w:fldChar w:fldCharType="separate"/>
        </w:r>
        <w:r w:rsidR="00344113">
          <w:rPr>
            <w:noProof/>
          </w:rPr>
          <w:t>5</w:t>
        </w:r>
        <w:r>
          <w:rPr>
            <w:noProof/>
          </w:rPr>
          <w:fldChar w:fldCharType="end"/>
        </w:r>
      </w:p>
    </w:sdtContent>
  </w:sdt>
  <w:p w:rsidR="00F430A1" w:rsidRDefault="00F43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B93" w:rsidRDefault="00803B93" w:rsidP="005D1516">
      <w:pPr>
        <w:spacing w:after="0" w:line="240" w:lineRule="auto"/>
      </w:pPr>
      <w:r>
        <w:separator/>
      </w:r>
    </w:p>
  </w:footnote>
  <w:footnote w:type="continuationSeparator" w:id="0">
    <w:p w:rsidR="00803B93" w:rsidRDefault="00803B93" w:rsidP="005D1516">
      <w:pPr>
        <w:spacing w:after="0" w:line="240" w:lineRule="auto"/>
      </w:pPr>
      <w:r>
        <w:continuationSeparator/>
      </w:r>
    </w:p>
  </w:footnote>
  <w:footnote w:id="1">
    <w:p w:rsidR="00482C5F" w:rsidRDefault="00482C5F" w:rsidP="00482C5F">
      <w:pPr>
        <w:spacing w:line="240" w:lineRule="auto"/>
        <w:jc w:val="both"/>
      </w:pPr>
      <w:r>
        <w:rPr>
          <w:vertAlign w:val="superscript"/>
        </w:rPr>
        <w:footnoteRef/>
      </w:r>
      <w:r>
        <w:rPr>
          <w:sz w:val="20"/>
          <w:szCs w:val="20"/>
        </w:rPr>
        <w:t xml:space="preserve"> </w:t>
      </w:r>
      <w:r>
        <w:rPr>
          <w:rFonts w:ascii="Times New Roman" w:hAnsi="Times New Roman"/>
          <w:sz w:val="20"/>
          <w:szCs w:val="20"/>
        </w:rPr>
        <w:t xml:space="preserve">Делото </w:t>
      </w:r>
      <w:r w:rsidR="004A373E">
        <w:rPr>
          <w:rFonts w:ascii="Times New Roman" w:hAnsi="Times New Roman"/>
          <w:sz w:val="20"/>
          <w:szCs w:val="20"/>
        </w:rPr>
        <w:t>засяга</w:t>
      </w:r>
      <w:r>
        <w:rPr>
          <w:rFonts w:ascii="Times New Roman" w:hAnsi="Times New Roman"/>
          <w:sz w:val="20"/>
          <w:szCs w:val="20"/>
        </w:rPr>
        <w:t xml:space="preserve"> нарушаване на правото на жалбоподателката на достъп до съд в контекста на гражданско производство за вреди против прокуратурата, на основание това, че образуваното срещу нея наказателно производство било прекратено от прокурора. Девет месеца по-късно </w:t>
      </w:r>
      <w:proofErr w:type="spellStart"/>
      <w:r>
        <w:rPr>
          <w:rFonts w:ascii="Times New Roman" w:hAnsi="Times New Roman"/>
          <w:sz w:val="20"/>
          <w:szCs w:val="20"/>
        </w:rPr>
        <w:t>горестоящият</w:t>
      </w:r>
      <w:proofErr w:type="spellEnd"/>
      <w:r>
        <w:rPr>
          <w:rFonts w:ascii="Times New Roman" w:hAnsi="Times New Roman"/>
          <w:sz w:val="20"/>
          <w:szCs w:val="20"/>
        </w:rPr>
        <w:t xml:space="preserve"> прокурор отменя постановлението за прекратяване, в резултат на което съдът не може да се произнесе по предявения от нея иск. Съдът отбелязва, че възможността за възобновяване на наказателното производство сама по себе си не е проблематична. Въпреки това Съдът счита, че </w:t>
      </w:r>
      <w:proofErr w:type="spellStart"/>
      <w:r>
        <w:rPr>
          <w:rFonts w:ascii="Times New Roman" w:hAnsi="Times New Roman"/>
          <w:sz w:val="20"/>
          <w:szCs w:val="20"/>
        </w:rPr>
        <w:t>дискреционната</w:t>
      </w:r>
      <w:proofErr w:type="spellEnd"/>
      <w:r>
        <w:rPr>
          <w:rFonts w:ascii="Times New Roman" w:hAnsi="Times New Roman"/>
          <w:sz w:val="20"/>
          <w:szCs w:val="20"/>
        </w:rPr>
        <w:t xml:space="preserve"> власт на прокуратурата при липсата на процесуални гаранции </w:t>
      </w:r>
      <w:r>
        <w:rPr>
          <w:rFonts w:ascii="Cambria Math" w:hAnsi="Cambria Math" w:cs="Cambria Math"/>
          <w:sz w:val="20"/>
          <w:szCs w:val="20"/>
        </w:rPr>
        <w:t>ѝ</w:t>
      </w:r>
      <w:r>
        <w:rPr>
          <w:rFonts w:ascii="Times New Roman" w:hAnsi="Times New Roman"/>
          <w:sz w:val="20"/>
          <w:szCs w:val="20"/>
        </w:rPr>
        <w:t xml:space="preserve"> е дала възможност като ответник по иска за вреди  да влияе едностранно на обхвата и изхода на производството (нарушение на чл. 6</w:t>
      </w:r>
      <w:r w:rsidR="004A373E">
        <w:rPr>
          <w:rFonts w:ascii="Times New Roman" w:hAnsi="Times New Roman"/>
          <w:sz w:val="20"/>
          <w:szCs w:val="20"/>
        </w:rPr>
        <w:t>,</w:t>
      </w:r>
      <w:r>
        <w:rPr>
          <w:rFonts w:ascii="Times New Roman" w:hAnsi="Times New Roman"/>
          <w:sz w:val="20"/>
          <w:szCs w:val="20"/>
        </w:rPr>
        <w:t xml:space="preserve"> § 1).</w:t>
      </w:r>
    </w:p>
  </w:footnote>
  <w:footnote w:id="2">
    <w:p w:rsidR="00482C5F" w:rsidRPr="00296116" w:rsidRDefault="00482C5F" w:rsidP="00482C5F">
      <w:pPr>
        <w:spacing w:before="240"/>
        <w:rPr>
          <w:rFonts w:ascii="Times New Roman" w:hAnsi="Times New Roman"/>
          <w:sz w:val="20"/>
          <w:szCs w:val="20"/>
        </w:rPr>
      </w:pPr>
      <w:r w:rsidRPr="00296116">
        <w:rPr>
          <w:rStyle w:val="FootnoteReference"/>
          <w:rFonts w:ascii="Times New Roman" w:hAnsi="Times New Roman"/>
          <w:sz w:val="20"/>
          <w:szCs w:val="20"/>
        </w:rPr>
        <w:footnoteRef/>
      </w:r>
      <w:r w:rsidRPr="00296116">
        <w:rPr>
          <w:rFonts w:ascii="Times New Roman" w:hAnsi="Times New Roman"/>
          <w:sz w:val="20"/>
          <w:szCs w:val="20"/>
        </w:rPr>
        <w:t xml:space="preserve"> Дело Миладинова срещу България (Жалба № </w:t>
      </w:r>
      <w:hyperlink r:id="rId1" w:anchor="{%22appno%22:[%2231604/17%22]}" w:tgtFrame="_blank" w:history="1">
        <w:r w:rsidRPr="00296116">
          <w:rPr>
            <w:rStyle w:val="Hyperlink"/>
            <w:rFonts w:ascii="Times New Roman" w:hAnsi="Times New Roman"/>
            <w:sz w:val="20"/>
            <w:szCs w:val="20"/>
          </w:rPr>
          <w:t>31604/17</w:t>
        </w:r>
      </w:hyperlink>
      <w:r w:rsidRPr="00296116">
        <w:rPr>
          <w:rFonts w:ascii="Times New Roman" w:hAnsi="Times New Roman"/>
          <w:sz w:val="20"/>
          <w:szCs w:val="20"/>
        </w:rPr>
        <w:t xml:space="preserve">), </w:t>
      </w:r>
      <w:proofErr w:type="spellStart"/>
      <w:r w:rsidRPr="00296116">
        <w:rPr>
          <w:rFonts w:ascii="Times New Roman" w:hAnsi="Times New Roman"/>
          <w:sz w:val="20"/>
          <w:szCs w:val="20"/>
        </w:rPr>
        <w:t>пар</w:t>
      </w:r>
      <w:proofErr w:type="spellEnd"/>
      <w:r w:rsidRPr="00296116">
        <w:rPr>
          <w:rFonts w:ascii="Times New Roman" w:hAnsi="Times New Roman"/>
          <w:sz w:val="20"/>
          <w:szCs w:val="20"/>
        </w:rPr>
        <w:t>. 35- 41 от решението</w:t>
      </w:r>
      <w:r w:rsidR="00417D17">
        <w:rPr>
          <w:rFonts w:ascii="Times New Roman" w:hAnsi="Times New Roman"/>
          <w:sz w:val="20"/>
          <w:szCs w:val="20"/>
        </w:rPr>
        <w:t>.</w:t>
      </w:r>
    </w:p>
    <w:p w:rsidR="00482C5F" w:rsidRPr="00CA3D9B" w:rsidRDefault="00482C5F" w:rsidP="00482C5F">
      <w:pPr>
        <w:pStyle w:val="FootnoteText"/>
      </w:pPr>
    </w:p>
  </w:footnote>
  <w:footnote w:id="3">
    <w:p w:rsidR="00482C5F" w:rsidRDefault="00482C5F" w:rsidP="00482C5F">
      <w:pPr>
        <w:pStyle w:val="FootnoteText"/>
      </w:pPr>
      <w:r>
        <w:rPr>
          <w:rStyle w:val="FootnoteReference"/>
        </w:rPr>
        <w:footnoteRef/>
      </w:r>
      <w:r>
        <w:t xml:space="preserve"> Вж. например делата </w:t>
      </w:r>
      <w:proofErr w:type="spellStart"/>
      <w:r>
        <w:t>Stoev</w:t>
      </w:r>
      <w:proofErr w:type="spellEnd"/>
      <w:r>
        <w:t xml:space="preserve"> </w:t>
      </w:r>
      <w:proofErr w:type="spellStart"/>
      <w:r>
        <w:t>and</w:t>
      </w:r>
      <w:proofErr w:type="spellEnd"/>
      <w:r>
        <w:t xml:space="preserve"> </w:t>
      </w:r>
      <w:proofErr w:type="spellStart"/>
      <w:r>
        <w:t>Others</w:t>
      </w:r>
      <w:proofErr w:type="spellEnd"/>
      <w:r>
        <w:t xml:space="preserve"> (41717/09) и </w:t>
      </w:r>
      <w:proofErr w:type="spellStart"/>
      <w:r>
        <w:t>Yotova</w:t>
      </w:r>
      <w:proofErr w:type="spellEnd"/>
      <w:r>
        <w:t xml:space="preserve"> (43606/04)</w:t>
      </w:r>
      <w:r w:rsidR="008973A2">
        <w:t>.</w:t>
      </w:r>
    </w:p>
  </w:footnote>
  <w:footnote w:id="4">
    <w:p w:rsidR="00482C5F" w:rsidRDefault="00482C5F" w:rsidP="00482C5F">
      <w:pPr>
        <w:pStyle w:val="FootnoteText"/>
      </w:pPr>
      <w:r>
        <w:rPr>
          <w:rStyle w:val="FootnoteReference"/>
        </w:rPr>
        <w:footnoteRef/>
      </w:r>
      <w:r>
        <w:t xml:space="preserve"> Анализ на Секретариата на Съвета на Европа, стр. 4 </w:t>
      </w:r>
      <w:hyperlink r:id="rId2" w:history="1">
        <w:r w:rsidRPr="009D3B5E">
          <w:rPr>
            <w:rStyle w:val="Hyperlink"/>
          </w:rPr>
          <w:t>https://rm.coe.int/bgr-s-z-h-exec-1419-bgr-translation/1680a4ccfc</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17F20"/>
    <w:multiLevelType w:val="hybridMultilevel"/>
    <w:tmpl w:val="CFC2DF6A"/>
    <w:lvl w:ilvl="0" w:tplc="8C7843C4">
      <w:start w:val="1"/>
      <w:numFmt w:val="decimal"/>
      <w:lvlText w:val="%1."/>
      <w:lvlJc w:val="left"/>
      <w:pPr>
        <w:ind w:left="1080" w:hanging="360"/>
      </w:pPr>
      <w:rPr>
        <w:rFonts w:cs="Times New Roman"/>
        <w:b/>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 w15:restartNumberingAfterBreak="0">
    <w:nsid w:val="3C1708F4"/>
    <w:multiLevelType w:val="hybridMultilevel"/>
    <w:tmpl w:val="A86816C8"/>
    <w:lvl w:ilvl="0" w:tplc="56243098">
      <w:numFmt w:val="bullet"/>
      <w:lvlText w:val="-"/>
      <w:lvlJc w:val="left"/>
      <w:pPr>
        <w:ind w:left="1080" w:hanging="360"/>
      </w:pPr>
      <w:rPr>
        <w:rFonts w:ascii="Times New Roman" w:eastAsiaTheme="minorHAnsi" w:hAnsi="Times New Roman" w:cs="Times New Roman" w:hint="default"/>
        <w:u w:val="none"/>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E48"/>
    <w:rsid w:val="0001095F"/>
    <w:rsid w:val="000A10F9"/>
    <w:rsid w:val="000C6829"/>
    <w:rsid w:val="000C6FC0"/>
    <w:rsid w:val="001A3644"/>
    <w:rsid w:val="001F5E48"/>
    <w:rsid w:val="0022792B"/>
    <w:rsid w:val="002A3DD9"/>
    <w:rsid w:val="0030422F"/>
    <w:rsid w:val="00327A5D"/>
    <w:rsid w:val="00344113"/>
    <w:rsid w:val="003A635B"/>
    <w:rsid w:val="003F226F"/>
    <w:rsid w:val="00411391"/>
    <w:rsid w:val="00417D17"/>
    <w:rsid w:val="00460CE5"/>
    <w:rsid w:val="00482C5F"/>
    <w:rsid w:val="004849A2"/>
    <w:rsid w:val="004A373E"/>
    <w:rsid w:val="004E5881"/>
    <w:rsid w:val="005071EC"/>
    <w:rsid w:val="005711C7"/>
    <w:rsid w:val="005D1516"/>
    <w:rsid w:val="005F2A2A"/>
    <w:rsid w:val="00601DAA"/>
    <w:rsid w:val="00655A2B"/>
    <w:rsid w:val="006A4962"/>
    <w:rsid w:val="006F0C12"/>
    <w:rsid w:val="006F5E9F"/>
    <w:rsid w:val="007259EE"/>
    <w:rsid w:val="00781BBB"/>
    <w:rsid w:val="007C5EF8"/>
    <w:rsid w:val="007F340D"/>
    <w:rsid w:val="00803B93"/>
    <w:rsid w:val="00812789"/>
    <w:rsid w:val="0081688B"/>
    <w:rsid w:val="00817E0A"/>
    <w:rsid w:val="00820A90"/>
    <w:rsid w:val="00822C20"/>
    <w:rsid w:val="008767AB"/>
    <w:rsid w:val="00892500"/>
    <w:rsid w:val="008973A2"/>
    <w:rsid w:val="008C5933"/>
    <w:rsid w:val="00946200"/>
    <w:rsid w:val="009B67AD"/>
    <w:rsid w:val="00A324EF"/>
    <w:rsid w:val="00AF0394"/>
    <w:rsid w:val="00AF53C3"/>
    <w:rsid w:val="00B55E7C"/>
    <w:rsid w:val="00B87A3A"/>
    <w:rsid w:val="00BA5A40"/>
    <w:rsid w:val="00BB0364"/>
    <w:rsid w:val="00C35D98"/>
    <w:rsid w:val="00C41012"/>
    <w:rsid w:val="00CB64C0"/>
    <w:rsid w:val="00CC3278"/>
    <w:rsid w:val="00D24310"/>
    <w:rsid w:val="00D34394"/>
    <w:rsid w:val="00D843C0"/>
    <w:rsid w:val="00DE0553"/>
    <w:rsid w:val="00F11C59"/>
    <w:rsid w:val="00F17699"/>
    <w:rsid w:val="00F223D6"/>
    <w:rsid w:val="00F27743"/>
    <w:rsid w:val="00F430A1"/>
    <w:rsid w:val="00F73AB6"/>
    <w:rsid w:val="00FB1611"/>
    <w:rsid w:val="00FB7D1B"/>
    <w:rsid w:val="00FC3ABA"/>
    <w:rsid w:val="00FD1938"/>
    <w:rsid w:val="00FD2A9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0E6B6"/>
  <w15:chartTrackingRefBased/>
  <w15:docId w15:val="{5AD69B27-5657-43B9-8256-1E5792F82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516"/>
    <w:pPr>
      <w:spacing w:line="25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17E0A"/>
    <w:pPr>
      <w:spacing w:line="259" w:lineRule="auto"/>
      <w:ind w:left="720"/>
      <w:contextualSpacing/>
    </w:pPr>
    <w:rPr>
      <w:rFonts w:asciiTheme="minorHAnsi" w:eastAsiaTheme="minorHAnsi" w:hAnsiTheme="minorHAnsi" w:cstheme="minorBidi"/>
      <w:lang w:val="en-US"/>
    </w:rPr>
  </w:style>
  <w:style w:type="character" w:styleId="CommentReference">
    <w:name w:val="annotation reference"/>
    <w:basedOn w:val="DefaultParagraphFont"/>
    <w:uiPriority w:val="99"/>
    <w:semiHidden/>
    <w:unhideWhenUsed/>
    <w:rsid w:val="00482C5F"/>
    <w:rPr>
      <w:sz w:val="16"/>
      <w:szCs w:val="16"/>
    </w:rPr>
  </w:style>
  <w:style w:type="paragraph" w:styleId="CommentText">
    <w:name w:val="annotation text"/>
    <w:basedOn w:val="Normal"/>
    <w:link w:val="CommentTextChar"/>
    <w:uiPriority w:val="99"/>
    <w:semiHidden/>
    <w:unhideWhenUsed/>
    <w:rsid w:val="00482C5F"/>
    <w:pPr>
      <w:spacing w:line="240" w:lineRule="auto"/>
    </w:pPr>
    <w:rPr>
      <w:sz w:val="20"/>
      <w:szCs w:val="20"/>
    </w:rPr>
  </w:style>
  <w:style w:type="character" w:customStyle="1" w:styleId="CommentTextChar">
    <w:name w:val="Comment Text Char"/>
    <w:basedOn w:val="DefaultParagraphFont"/>
    <w:link w:val="CommentText"/>
    <w:uiPriority w:val="99"/>
    <w:semiHidden/>
    <w:rsid w:val="00482C5F"/>
    <w:rPr>
      <w:rFonts w:ascii="Calibri" w:eastAsia="Times New Roman" w:hAnsi="Calibri" w:cs="Times New Roman"/>
      <w:sz w:val="20"/>
      <w:szCs w:val="20"/>
    </w:rPr>
  </w:style>
  <w:style w:type="paragraph" w:styleId="FootnoteText">
    <w:name w:val="footnote text"/>
    <w:aliases w:val="Footnote Text Char Char,Footnote text,Footnote Text Char2 Char,Footnote Text Char1 Char1 Char,Footnote Text Char2 Char Char Char,Footnote Text Char1 Char1 Char Char Char,Plonk,fn,fn Char Char,Fußnote,o,Footnote Text Char1 Char,Reference"/>
    <w:basedOn w:val="Normal"/>
    <w:link w:val="FootnoteTextChar"/>
    <w:uiPriority w:val="99"/>
    <w:semiHidden/>
    <w:unhideWhenUsed/>
    <w:rsid w:val="00482C5F"/>
    <w:pPr>
      <w:spacing w:after="0" w:line="240" w:lineRule="auto"/>
    </w:pPr>
    <w:rPr>
      <w:sz w:val="20"/>
      <w:szCs w:val="20"/>
    </w:rPr>
  </w:style>
  <w:style w:type="character" w:customStyle="1" w:styleId="FootnoteTextChar">
    <w:name w:val="Footnote Text Char"/>
    <w:aliases w:val="Footnote Text Char Char Char,Footnote text Char,Footnote Text Char2 Char Char,Footnote Text Char1 Char1 Char Char,Footnote Text Char2 Char Char Char Char,Footnote Text Char1 Char1 Char Char Char Char,Plonk Char,fn Char,Fußnote Char"/>
    <w:basedOn w:val="DefaultParagraphFont"/>
    <w:link w:val="FootnoteText"/>
    <w:uiPriority w:val="99"/>
    <w:semiHidden/>
    <w:rsid w:val="00482C5F"/>
    <w:rPr>
      <w:rFonts w:ascii="Calibri" w:eastAsia="Times New Roman" w:hAnsi="Calibri" w:cs="Times New Roman"/>
      <w:sz w:val="20"/>
      <w:szCs w:val="20"/>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Ref,Char1"/>
    <w:basedOn w:val="DefaultParagraphFont"/>
    <w:link w:val="ftrefCharCharCharCharCharCharCharCharChar"/>
    <w:uiPriority w:val="99"/>
    <w:unhideWhenUsed/>
    <w:rsid w:val="00482C5F"/>
    <w:rPr>
      <w:vertAlign w:val="superscript"/>
    </w:rPr>
  </w:style>
  <w:style w:type="character" w:styleId="Hyperlink">
    <w:name w:val="Hyperlink"/>
    <w:basedOn w:val="DefaultParagraphFont"/>
    <w:uiPriority w:val="99"/>
    <w:unhideWhenUsed/>
    <w:rsid w:val="00482C5F"/>
    <w:rPr>
      <w:color w:val="0000FF"/>
      <w:u w:val="single"/>
    </w:rPr>
  </w:style>
  <w:style w:type="character" w:customStyle="1" w:styleId="ListParagraphChar">
    <w:name w:val="List Paragraph Char"/>
    <w:link w:val="ListParagraph"/>
    <w:uiPriority w:val="34"/>
    <w:locked/>
    <w:rsid w:val="00482C5F"/>
    <w:rPr>
      <w:lang w:val="en-U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482C5F"/>
    <w:pPr>
      <w:spacing w:line="240" w:lineRule="exact"/>
      <w:jc w:val="both"/>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482C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C5F"/>
    <w:rPr>
      <w:rFonts w:ascii="Segoe UI" w:eastAsia="Times New Roman" w:hAnsi="Segoe UI" w:cs="Segoe UI"/>
      <w:sz w:val="18"/>
      <w:szCs w:val="18"/>
    </w:rPr>
  </w:style>
  <w:style w:type="paragraph" w:styleId="Header">
    <w:name w:val="header"/>
    <w:basedOn w:val="Normal"/>
    <w:link w:val="HeaderChar"/>
    <w:uiPriority w:val="99"/>
    <w:unhideWhenUsed/>
    <w:rsid w:val="00F430A1"/>
    <w:pPr>
      <w:tabs>
        <w:tab w:val="center" w:pos="4536"/>
        <w:tab w:val="right" w:pos="9072"/>
      </w:tabs>
      <w:spacing w:after="0" w:line="240" w:lineRule="auto"/>
    </w:pPr>
  </w:style>
  <w:style w:type="character" w:customStyle="1" w:styleId="HeaderChar">
    <w:name w:val="Header Char"/>
    <w:basedOn w:val="DefaultParagraphFont"/>
    <w:link w:val="Header"/>
    <w:uiPriority w:val="99"/>
    <w:rsid w:val="00F430A1"/>
    <w:rPr>
      <w:rFonts w:ascii="Calibri" w:eastAsia="Times New Roman" w:hAnsi="Calibri" w:cs="Times New Roman"/>
    </w:rPr>
  </w:style>
  <w:style w:type="paragraph" w:styleId="Footer">
    <w:name w:val="footer"/>
    <w:basedOn w:val="Normal"/>
    <w:link w:val="FooterChar"/>
    <w:uiPriority w:val="99"/>
    <w:unhideWhenUsed/>
    <w:rsid w:val="00F430A1"/>
    <w:pPr>
      <w:tabs>
        <w:tab w:val="center" w:pos="4536"/>
        <w:tab w:val="right" w:pos="9072"/>
      </w:tabs>
      <w:spacing w:after="0" w:line="240" w:lineRule="auto"/>
    </w:pPr>
  </w:style>
  <w:style w:type="character" w:customStyle="1" w:styleId="FooterChar">
    <w:name w:val="Footer Char"/>
    <w:basedOn w:val="DefaultParagraphFont"/>
    <w:link w:val="Footer"/>
    <w:uiPriority w:val="99"/>
    <w:rsid w:val="00F430A1"/>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480480">
      <w:bodyDiv w:val="1"/>
      <w:marLeft w:val="0"/>
      <w:marRight w:val="0"/>
      <w:marTop w:val="0"/>
      <w:marBottom w:val="0"/>
      <w:divBdr>
        <w:top w:val="none" w:sz="0" w:space="0" w:color="auto"/>
        <w:left w:val="none" w:sz="0" w:space="0" w:color="auto"/>
        <w:bottom w:val="none" w:sz="0" w:space="0" w:color="auto"/>
        <w:right w:val="none" w:sz="0" w:space="0" w:color="auto"/>
      </w:divBdr>
    </w:div>
    <w:div w:id="542711432">
      <w:bodyDiv w:val="1"/>
      <w:marLeft w:val="0"/>
      <w:marRight w:val="0"/>
      <w:marTop w:val="0"/>
      <w:marBottom w:val="0"/>
      <w:divBdr>
        <w:top w:val="none" w:sz="0" w:space="0" w:color="auto"/>
        <w:left w:val="none" w:sz="0" w:space="0" w:color="auto"/>
        <w:bottom w:val="none" w:sz="0" w:space="0" w:color="auto"/>
        <w:right w:val="none" w:sz="0" w:space="0" w:color="auto"/>
      </w:divBdr>
    </w:div>
    <w:div w:id="1184395255">
      <w:bodyDiv w:val="1"/>
      <w:marLeft w:val="0"/>
      <w:marRight w:val="0"/>
      <w:marTop w:val="0"/>
      <w:marBottom w:val="0"/>
      <w:divBdr>
        <w:top w:val="none" w:sz="0" w:space="0" w:color="auto"/>
        <w:left w:val="none" w:sz="0" w:space="0" w:color="auto"/>
        <w:bottom w:val="none" w:sz="0" w:space="0" w:color="auto"/>
        <w:right w:val="none" w:sz="0" w:space="0" w:color="auto"/>
      </w:divBdr>
    </w:div>
    <w:div w:id="200385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rm.coe.int/bgr-s-z-h-exec-1419-bgr-translation/1680a4ccfc" TargetMode="External"/><Relationship Id="rId1" Type="http://schemas.openxmlformats.org/officeDocument/2006/relationships/hyperlink" Target="https://hudoc.echr.coe.int/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C5E09-8470-478C-AB11-AE688C0DF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1783</Words>
  <Characters>10169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Alexandar Stefanov</dc:creator>
  <cp:keywords/>
  <dc:description/>
  <cp:lastModifiedBy>Emilia Aleksandrova</cp:lastModifiedBy>
  <cp:revision>35</cp:revision>
  <cp:lastPrinted>2025-06-26T07:44:00Z</cp:lastPrinted>
  <dcterms:created xsi:type="dcterms:W3CDTF">2025-06-24T11:23:00Z</dcterms:created>
  <dcterms:modified xsi:type="dcterms:W3CDTF">2025-06-26T08:39:00Z</dcterms:modified>
</cp:coreProperties>
</file>