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F16C0" w14:textId="77777777" w:rsidR="00E033DA" w:rsidRPr="00954C13" w:rsidRDefault="00E033DA" w:rsidP="00E033DA">
      <w:pPr>
        <w:widowControl w:val="0"/>
        <w:autoSpaceDE w:val="0"/>
        <w:autoSpaceDN w:val="0"/>
        <w:adjustRightInd w:val="0"/>
        <w:spacing w:after="0" w:line="240" w:lineRule="auto"/>
        <w:ind w:firstLine="709"/>
        <w:jc w:val="both"/>
        <w:rPr>
          <w:rFonts w:ascii="Times New Roman" w:eastAsia="Verdana" w:hAnsi="Times New Roman" w:cs="Times New Roman"/>
          <w:color w:val="000000"/>
          <w:sz w:val="24"/>
          <w:szCs w:val="24"/>
          <w:lang w:eastAsia="bg-BG"/>
        </w:rPr>
      </w:pPr>
    </w:p>
    <w:p w14:paraId="779865D7" w14:textId="2D2CEC24" w:rsidR="00E033DA" w:rsidRPr="00954C13" w:rsidRDefault="00E033DA" w:rsidP="00E033DA">
      <w:pPr>
        <w:autoSpaceDE w:val="0"/>
        <w:autoSpaceDN w:val="0"/>
        <w:adjustRightInd w:val="0"/>
        <w:spacing w:after="0" w:line="240" w:lineRule="auto"/>
        <w:jc w:val="center"/>
        <w:rPr>
          <w:rFonts w:ascii="Times New Roman" w:eastAsia="Verdana" w:hAnsi="Times New Roman" w:cs="Times New Roman"/>
          <w:b/>
          <w:color w:val="000000"/>
          <w:sz w:val="24"/>
          <w:szCs w:val="24"/>
          <w:highlight w:val="white"/>
          <w:lang w:eastAsia="bg-BG"/>
        </w:rPr>
      </w:pPr>
      <w:r w:rsidRPr="00954C13">
        <w:rPr>
          <w:rFonts w:ascii="Times New Roman" w:eastAsia="Verdana" w:hAnsi="Times New Roman" w:cs="Times New Roman"/>
          <w:b/>
          <w:color w:val="000000"/>
          <w:sz w:val="24"/>
          <w:szCs w:val="24"/>
          <w:lang w:eastAsia="bg-BG"/>
        </w:rPr>
        <w:t>Мотиви към Закона за изменение и допълнение на З</w:t>
      </w:r>
      <w:r w:rsidR="004D05A9" w:rsidRPr="00954C13">
        <w:rPr>
          <w:rFonts w:ascii="Times New Roman" w:eastAsia="Verdana" w:hAnsi="Times New Roman" w:cs="Times New Roman"/>
          <w:b/>
          <w:color w:val="000000"/>
          <w:sz w:val="24"/>
          <w:szCs w:val="24"/>
          <w:lang w:eastAsia="bg-BG"/>
        </w:rPr>
        <w:t>акона за електронните съобщителни мрежи и физическата инфраструктура</w:t>
      </w:r>
    </w:p>
    <w:p w14:paraId="2C87DBBF" w14:textId="77777777" w:rsidR="00E033DA" w:rsidRPr="00954C13" w:rsidRDefault="00E033DA" w:rsidP="00E033DA">
      <w:pPr>
        <w:tabs>
          <w:tab w:val="left" w:pos="709"/>
        </w:tabs>
        <w:autoSpaceDE w:val="0"/>
        <w:autoSpaceDN w:val="0"/>
        <w:adjustRightInd w:val="0"/>
        <w:spacing w:after="0" w:line="240" w:lineRule="auto"/>
        <w:jc w:val="both"/>
        <w:rPr>
          <w:rFonts w:ascii="Times New Roman" w:eastAsia="Verdana" w:hAnsi="Times New Roman" w:cs="Times New Roman"/>
          <w:sz w:val="24"/>
          <w:szCs w:val="24"/>
          <w:lang w:eastAsia="bg-BG"/>
        </w:rPr>
      </w:pPr>
    </w:p>
    <w:p w14:paraId="5BD86E4D" w14:textId="56DCC641" w:rsidR="00474EC6" w:rsidRPr="00954C13" w:rsidRDefault="004D05A9" w:rsidP="004D05A9">
      <w:pPr>
        <w:autoSpaceDE w:val="0"/>
        <w:autoSpaceDN w:val="0"/>
        <w:adjustRightInd w:val="0"/>
        <w:spacing w:before="240" w:after="120" w:line="240" w:lineRule="auto"/>
        <w:ind w:firstLine="567"/>
        <w:jc w:val="both"/>
        <w:rPr>
          <w:rFonts w:ascii="Times New Roman" w:eastAsia="Verdana" w:hAnsi="Times New Roman" w:cs="Times New Roman"/>
          <w:sz w:val="24"/>
          <w:szCs w:val="24"/>
          <w:lang w:eastAsia="bg-BG"/>
        </w:rPr>
      </w:pPr>
      <w:r w:rsidRPr="00954C13">
        <w:rPr>
          <w:rFonts w:ascii="Times New Roman" w:eastAsia="Verdana" w:hAnsi="Times New Roman" w:cs="Times New Roman"/>
          <w:sz w:val="24"/>
          <w:szCs w:val="24"/>
          <w:lang w:eastAsia="bg-BG"/>
        </w:rPr>
        <w:t>П</w:t>
      </w:r>
      <w:r w:rsidR="00C62D14" w:rsidRPr="00954C13">
        <w:rPr>
          <w:rFonts w:ascii="Times New Roman" w:eastAsia="Verdana" w:hAnsi="Times New Roman" w:cs="Times New Roman"/>
          <w:sz w:val="24"/>
          <w:szCs w:val="24"/>
          <w:lang w:eastAsia="bg-BG"/>
        </w:rPr>
        <w:t xml:space="preserve">редложените </w:t>
      </w:r>
      <w:r w:rsidR="00E033DA" w:rsidRPr="00954C13">
        <w:rPr>
          <w:rFonts w:ascii="Times New Roman" w:eastAsia="Verdana" w:hAnsi="Times New Roman" w:cs="Times New Roman"/>
          <w:sz w:val="24"/>
          <w:szCs w:val="24"/>
          <w:lang w:eastAsia="bg-BG"/>
        </w:rPr>
        <w:t>промени</w:t>
      </w:r>
      <w:r w:rsidR="00C62D14" w:rsidRPr="00954C13">
        <w:rPr>
          <w:rFonts w:ascii="Times New Roman" w:eastAsia="Verdana" w:hAnsi="Times New Roman" w:cs="Times New Roman"/>
          <w:sz w:val="24"/>
          <w:szCs w:val="24"/>
          <w:lang w:eastAsia="bg-BG"/>
        </w:rPr>
        <w:t xml:space="preserve"> имат за цел</w:t>
      </w:r>
      <w:r w:rsidR="00E033DA" w:rsidRPr="00954C13">
        <w:rPr>
          <w:rFonts w:ascii="Times New Roman" w:eastAsia="Verdana" w:hAnsi="Times New Roman" w:cs="Times New Roman"/>
          <w:sz w:val="24"/>
          <w:szCs w:val="24"/>
          <w:lang w:eastAsia="bg-BG"/>
        </w:rPr>
        <w:t xml:space="preserve"> </w:t>
      </w:r>
      <w:r w:rsidRPr="00954C13">
        <w:rPr>
          <w:rFonts w:ascii="Times New Roman" w:eastAsia="Verdana" w:hAnsi="Times New Roman" w:cs="Times New Roman"/>
          <w:sz w:val="24"/>
          <w:szCs w:val="24"/>
          <w:lang w:eastAsia="bg-BG"/>
        </w:rPr>
        <w:t xml:space="preserve">от една страна </w:t>
      </w:r>
      <w:r w:rsidR="00E033DA" w:rsidRPr="00954C13">
        <w:rPr>
          <w:rFonts w:ascii="Times New Roman" w:eastAsia="Verdana" w:hAnsi="Times New Roman" w:cs="Times New Roman"/>
          <w:sz w:val="24"/>
          <w:szCs w:val="24"/>
          <w:lang w:eastAsia="bg-BG"/>
        </w:rPr>
        <w:t xml:space="preserve">да </w:t>
      </w:r>
      <w:r w:rsidRPr="00954C13">
        <w:rPr>
          <w:rFonts w:ascii="Times New Roman" w:eastAsia="Verdana" w:hAnsi="Times New Roman" w:cs="Times New Roman"/>
          <w:sz w:val="24"/>
          <w:szCs w:val="24"/>
          <w:lang w:eastAsia="bg-BG"/>
        </w:rPr>
        <w:t>облекчат процедурите за  планиране и изграждане на цифрови мрежи и да насърчат инвестиционния процес, а от друга да гарантират изпълнението на инвестициите заложени в Плана за възстановяване и устойчивост.</w:t>
      </w:r>
    </w:p>
    <w:p w14:paraId="1B5C16A3" w14:textId="21F691F9" w:rsidR="00E033DA" w:rsidRPr="00954C13" w:rsidRDefault="00E033DA" w:rsidP="00474EC6">
      <w:pPr>
        <w:autoSpaceDE w:val="0"/>
        <w:autoSpaceDN w:val="0"/>
        <w:adjustRightInd w:val="0"/>
        <w:spacing w:before="240" w:after="120" w:line="240" w:lineRule="auto"/>
        <w:ind w:firstLine="567"/>
        <w:jc w:val="both"/>
        <w:rPr>
          <w:rFonts w:ascii="Times New Roman" w:eastAsia="Verdana" w:hAnsi="Times New Roman" w:cs="Times New Roman"/>
          <w:sz w:val="24"/>
          <w:szCs w:val="24"/>
          <w:lang w:eastAsia="bg-BG"/>
        </w:rPr>
      </w:pPr>
      <w:r w:rsidRPr="00954C13">
        <w:rPr>
          <w:rFonts w:ascii="Times New Roman" w:eastAsia="Verdana" w:hAnsi="Times New Roman" w:cs="Times New Roman"/>
          <w:sz w:val="24"/>
          <w:szCs w:val="24"/>
          <w:lang w:eastAsia="bg-BG"/>
        </w:rPr>
        <w:t>Целите на цифровото десетилетие (</w:t>
      </w:r>
      <w:proofErr w:type="spellStart"/>
      <w:r w:rsidRPr="00954C13">
        <w:rPr>
          <w:rFonts w:ascii="Times New Roman" w:eastAsia="Verdana" w:hAnsi="Times New Roman" w:cs="Times New Roman"/>
          <w:sz w:val="24"/>
          <w:szCs w:val="24"/>
          <w:lang w:eastAsia="bg-BG"/>
        </w:rPr>
        <w:t>Digital</w:t>
      </w:r>
      <w:proofErr w:type="spellEnd"/>
      <w:r w:rsidRPr="00954C13">
        <w:rPr>
          <w:rFonts w:ascii="Times New Roman" w:eastAsia="Verdana" w:hAnsi="Times New Roman" w:cs="Times New Roman"/>
          <w:sz w:val="24"/>
          <w:szCs w:val="24"/>
          <w:lang w:eastAsia="bg-BG"/>
        </w:rPr>
        <w:t xml:space="preserve"> </w:t>
      </w:r>
      <w:proofErr w:type="spellStart"/>
      <w:r w:rsidRPr="00954C13">
        <w:rPr>
          <w:rFonts w:ascii="Times New Roman" w:eastAsia="Verdana" w:hAnsi="Times New Roman" w:cs="Times New Roman"/>
          <w:sz w:val="24"/>
          <w:szCs w:val="24"/>
          <w:lang w:eastAsia="bg-BG"/>
        </w:rPr>
        <w:t>Decade</w:t>
      </w:r>
      <w:proofErr w:type="spellEnd"/>
      <w:r w:rsidRPr="00954C13">
        <w:rPr>
          <w:rFonts w:ascii="Times New Roman" w:eastAsia="Verdana" w:hAnsi="Times New Roman" w:cs="Times New Roman"/>
          <w:sz w:val="24"/>
          <w:szCs w:val="24"/>
          <w:lang w:eastAsia="bg-BG"/>
        </w:rPr>
        <w:t xml:space="preserve"> </w:t>
      </w:r>
      <w:proofErr w:type="spellStart"/>
      <w:r w:rsidRPr="00954C13">
        <w:rPr>
          <w:rFonts w:ascii="Times New Roman" w:eastAsia="Verdana" w:hAnsi="Times New Roman" w:cs="Times New Roman"/>
          <w:sz w:val="24"/>
          <w:szCs w:val="24"/>
          <w:lang w:eastAsia="bg-BG"/>
        </w:rPr>
        <w:t>Targets</w:t>
      </w:r>
      <w:proofErr w:type="spellEnd"/>
      <w:r w:rsidRPr="00954C13">
        <w:rPr>
          <w:rFonts w:ascii="Times New Roman" w:eastAsia="Verdana" w:hAnsi="Times New Roman" w:cs="Times New Roman"/>
          <w:sz w:val="24"/>
          <w:szCs w:val="24"/>
          <w:lang w:eastAsia="bg-BG"/>
        </w:rPr>
        <w:t xml:space="preserve">) задължават страните от ЕС, включително България да осигурят </w:t>
      </w:r>
      <w:proofErr w:type="spellStart"/>
      <w:r w:rsidRPr="00954C13">
        <w:rPr>
          <w:rFonts w:ascii="Times New Roman" w:eastAsia="Verdana" w:hAnsi="Times New Roman" w:cs="Times New Roman"/>
          <w:sz w:val="24"/>
          <w:szCs w:val="24"/>
          <w:lang w:eastAsia="bg-BG"/>
        </w:rPr>
        <w:t>гигабитова</w:t>
      </w:r>
      <w:proofErr w:type="spellEnd"/>
      <w:r w:rsidRPr="00954C13">
        <w:rPr>
          <w:rFonts w:ascii="Times New Roman" w:eastAsia="Verdana" w:hAnsi="Times New Roman" w:cs="Times New Roman"/>
          <w:sz w:val="24"/>
          <w:szCs w:val="24"/>
          <w:lang w:eastAsia="bg-BG"/>
        </w:rPr>
        <w:t xml:space="preserve"> свързаност за нуждите на гражданите и бизнеса (</w:t>
      </w:r>
      <w:proofErr w:type="spellStart"/>
      <w:r w:rsidRPr="00954C13">
        <w:rPr>
          <w:rFonts w:ascii="Times New Roman" w:eastAsia="Verdana" w:hAnsi="Times New Roman" w:cs="Times New Roman"/>
          <w:sz w:val="24"/>
          <w:szCs w:val="24"/>
          <w:lang w:eastAsia="bg-BG"/>
        </w:rPr>
        <w:t>Gigabit</w:t>
      </w:r>
      <w:proofErr w:type="spellEnd"/>
      <w:r w:rsidRPr="00954C13">
        <w:rPr>
          <w:rFonts w:ascii="Times New Roman" w:eastAsia="Verdana" w:hAnsi="Times New Roman" w:cs="Times New Roman"/>
          <w:sz w:val="24"/>
          <w:szCs w:val="24"/>
          <w:lang w:eastAsia="bg-BG"/>
        </w:rPr>
        <w:t xml:space="preserve"> </w:t>
      </w:r>
      <w:proofErr w:type="spellStart"/>
      <w:r w:rsidRPr="00954C13">
        <w:rPr>
          <w:rFonts w:ascii="Times New Roman" w:eastAsia="Verdana" w:hAnsi="Times New Roman" w:cs="Times New Roman"/>
          <w:sz w:val="24"/>
          <w:szCs w:val="24"/>
          <w:lang w:eastAsia="bg-BG"/>
        </w:rPr>
        <w:t>for</w:t>
      </w:r>
      <w:proofErr w:type="spellEnd"/>
      <w:r w:rsidRPr="00954C13">
        <w:rPr>
          <w:rFonts w:ascii="Times New Roman" w:eastAsia="Verdana" w:hAnsi="Times New Roman" w:cs="Times New Roman"/>
          <w:sz w:val="24"/>
          <w:szCs w:val="24"/>
          <w:lang w:eastAsia="bg-BG"/>
        </w:rPr>
        <w:t xml:space="preserve"> </w:t>
      </w:r>
      <w:proofErr w:type="spellStart"/>
      <w:r w:rsidRPr="00954C13">
        <w:rPr>
          <w:rFonts w:ascii="Times New Roman" w:eastAsia="Verdana" w:hAnsi="Times New Roman" w:cs="Times New Roman"/>
          <w:sz w:val="24"/>
          <w:szCs w:val="24"/>
          <w:lang w:eastAsia="bg-BG"/>
        </w:rPr>
        <w:t>Everyone</w:t>
      </w:r>
      <w:proofErr w:type="spellEnd"/>
      <w:r w:rsidRPr="00954C13">
        <w:rPr>
          <w:rFonts w:ascii="Times New Roman" w:eastAsia="Verdana" w:hAnsi="Times New Roman" w:cs="Times New Roman"/>
          <w:sz w:val="24"/>
          <w:szCs w:val="24"/>
          <w:lang w:eastAsia="bg-BG"/>
        </w:rPr>
        <w:t xml:space="preserve">). Това е отразено и в </w:t>
      </w:r>
      <w:r w:rsidR="00C62D14" w:rsidRPr="00954C13">
        <w:rPr>
          <w:rFonts w:ascii="Times New Roman" w:eastAsia="Verdana" w:hAnsi="Times New Roman" w:cs="Times New Roman"/>
          <w:sz w:val="24"/>
          <w:szCs w:val="24"/>
          <w:lang w:eastAsia="bg-BG"/>
        </w:rPr>
        <w:t>Националния план за възстановяване и устойчивост</w:t>
      </w:r>
      <w:r w:rsidRPr="00954C13">
        <w:rPr>
          <w:rFonts w:ascii="Times New Roman" w:eastAsia="Verdana" w:hAnsi="Times New Roman" w:cs="Times New Roman"/>
          <w:sz w:val="24"/>
          <w:szCs w:val="24"/>
          <w:lang w:eastAsia="bg-BG"/>
        </w:rPr>
        <w:t>, част Свързаност, който предвижда мащабно разгръщане на високоскоростни мрежи (</w:t>
      </w:r>
      <w:proofErr w:type="spellStart"/>
      <w:r w:rsidRPr="00954C13">
        <w:rPr>
          <w:rFonts w:ascii="Times New Roman" w:eastAsia="Verdana" w:hAnsi="Times New Roman" w:cs="Times New Roman"/>
          <w:sz w:val="24"/>
          <w:szCs w:val="24"/>
          <w:lang w:eastAsia="bg-BG"/>
        </w:rPr>
        <w:t>Very</w:t>
      </w:r>
      <w:proofErr w:type="spellEnd"/>
      <w:r w:rsidRPr="00954C13">
        <w:rPr>
          <w:rFonts w:ascii="Times New Roman" w:eastAsia="Verdana" w:hAnsi="Times New Roman" w:cs="Times New Roman"/>
          <w:sz w:val="24"/>
          <w:szCs w:val="24"/>
          <w:lang w:eastAsia="bg-BG"/>
        </w:rPr>
        <w:t xml:space="preserve"> </w:t>
      </w:r>
      <w:proofErr w:type="spellStart"/>
      <w:r w:rsidRPr="00954C13">
        <w:rPr>
          <w:rFonts w:ascii="Times New Roman" w:eastAsia="Verdana" w:hAnsi="Times New Roman" w:cs="Times New Roman"/>
          <w:sz w:val="24"/>
          <w:szCs w:val="24"/>
          <w:lang w:eastAsia="bg-BG"/>
        </w:rPr>
        <w:t>High</w:t>
      </w:r>
      <w:proofErr w:type="spellEnd"/>
      <w:r w:rsidRPr="00954C13">
        <w:rPr>
          <w:rFonts w:ascii="Times New Roman" w:eastAsia="Verdana" w:hAnsi="Times New Roman" w:cs="Times New Roman"/>
          <w:sz w:val="24"/>
          <w:szCs w:val="24"/>
          <w:lang w:eastAsia="bg-BG"/>
        </w:rPr>
        <w:t xml:space="preserve"> </w:t>
      </w:r>
      <w:proofErr w:type="spellStart"/>
      <w:r w:rsidRPr="00954C13">
        <w:rPr>
          <w:rFonts w:ascii="Times New Roman" w:eastAsia="Verdana" w:hAnsi="Times New Roman" w:cs="Times New Roman"/>
          <w:sz w:val="24"/>
          <w:szCs w:val="24"/>
          <w:lang w:eastAsia="bg-BG"/>
        </w:rPr>
        <w:t>Capacity</w:t>
      </w:r>
      <w:proofErr w:type="spellEnd"/>
      <w:r w:rsidRPr="00954C13">
        <w:rPr>
          <w:rFonts w:ascii="Times New Roman" w:eastAsia="Verdana" w:hAnsi="Times New Roman" w:cs="Times New Roman"/>
          <w:sz w:val="24"/>
          <w:szCs w:val="24"/>
          <w:lang w:eastAsia="bg-BG"/>
        </w:rPr>
        <w:t xml:space="preserve"> </w:t>
      </w:r>
      <w:proofErr w:type="spellStart"/>
      <w:r w:rsidRPr="00954C13">
        <w:rPr>
          <w:rFonts w:ascii="Times New Roman" w:eastAsia="Verdana" w:hAnsi="Times New Roman" w:cs="Times New Roman"/>
          <w:sz w:val="24"/>
          <w:szCs w:val="24"/>
          <w:lang w:eastAsia="bg-BG"/>
        </w:rPr>
        <w:t>Networks</w:t>
      </w:r>
      <w:proofErr w:type="spellEnd"/>
      <w:r w:rsidRPr="00954C13">
        <w:rPr>
          <w:rFonts w:ascii="Times New Roman" w:eastAsia="Verdana" w:hAnsi="Times New Roman" w:cs="Times New Roman"/>
          <w:sz w:val="24"/>
          <w:szCs w:val="24"/>
          <w:lang w:eastAsia="bg-BG"/>
        </w:rPr>
        <w:t xml:space="preserve">) до малки и отдалечени населени места за изключително кратък срок. Наложително е значително ускоряване и облекчаване на нормите и процедурите за изграждане и обновяване на съобщителната инфраструктура. В тази връзка са и предложените </w:t>
      </w:r>
      <w:r w:rsidR="00C62D14" w:rsidRPr="00954C13">
        <w:rPr>
          <w:rFonts w:ascii="Times New Roman" w:eastAsia="Verdana" w:hAnsi="Times New Roman" w:cs="Times New Roman"/>
          <w:sz w:val="24"/>
          <w:szCs w:val="24"/>
          <w:lang w:eastAsia="bg-BG"/>
        </w:rPr>
        <w:t xml:space="preserve">изменения </w:t>
      </w:r>
      <w:r w:rsidRPr="00954C13">
        <w:rPr>
          <w:rFonts w:ascii="Times New Roman" w:eastAsia="Verdana" w:hAnsi="Times New Roman" w:cs="Times New Roman"/>
          <w:sz w:val="24"/>
          <w:szCs w:val="24"/>
          <w:lang w:eastAsia="bg-BG"/>
        </w:rPr>
        <w:t xml:space="preserve">в </w:t>
      </w:r>
      <w:r w:rsidR="00C62D14" w:rsidRPr="00954C13">
        <w:rPr>
          <w:rFonts w:ascii="Times New Roman" w:eastAsia="Verdana" w:hAnsi="Times New Roman" w:cs="Times New Roman"/>
          <w:sz w:val="24"/>
          <w:szCs w:val="24"/>
          <w:lang w:eastAsia="bg-BG"/>
        </w:rPr>
        <w:t>чл. 33 от ЗЕС</w:t>
      </w:r>
      <w:r w:rsidRPr="00954C13">
        <w:rPr>
          <w:rFonts w:ascii="Times New Roman" w:eastAsia="Verdana" w:hAnsi="Times New Roman" w:cs="Times New Roman"/>
          <w:sz w:val="24"/>
          <w:szCs w:val="24"/>
          <w:lang w:eastAsia="bg-BG"/>
        </w:rPr>
        <w:t xml:space="preserve">, </w:t>
      </w:r>
      <w:r w:rsidR="00C62D14" w:rsidRPr="00954C13">
        <w:rPr>
          <w:rFonts w:ascii="Times New Roman" w:eastAsia="Verdana" w:hAnsi="Times New Roman" w:cs="Times New Roman"/>
          <w:sz w:val="24"/>
          <w:szCs w:val="24"/>
          <w:lang w:eastAsia="bg-BG"/>
        </w:rPr>
        <w:t xml:space="preserve">в </w:t>
      </w:r>
      <w:r w:rsidRPr="00954C13">
        <w:rPr>
          <w:rFonts w:ascii="Times New Roman" w:eastAsia="Verdana" w:hAnsi="Times New Roman" w:cs="Times New Roman"/>
          <w:sz w:val="24"/>
          <w:szCs w:val="24"/>
          <w:lang w:eastAsia="bg-BG"/>
        </w:rPr>
        <w:t xml:space="preserve">Закона за устройство на територията (ЗУТ) и Закона за електронните съобщителни мрежи и физическата инфраструктура (ЗЕСМФИ). Процесът по законосъобразното изграждане или обновяване на съобщителна инфраструктура предвижда участието на множество административни органи с различна компетентност. Част от предложенията имат за цел да внесат уточнения в процедурите за регистрация или уведомяване на съответните администрации, така че да бъдат избегнати проблеми, които са установени в практиката. </w:t>
      </w:r>
    </w:p>
    <w:p w14:paraId="4310B1A1" w14:textId="57FEA64B" w:rsidR="00CE6F25" w:rsidRPr="00954C13" w:rsidRDefault="00CE6F25" w:rsidP="00CE6F25">
      <w:pPr>
        <w:autoSpaceDE w:val="0"/>
        <w:autoSpaceDN w:val="0"/>
        <w:adjustRightInd w:val="0"/>
        <w:spacing w:before="240" w:after="120" w:line="240" w:lineRule="auto"/>
        <w:ind w:firstLine="567"/>
        <w:jc w:val="both"/>
        <w:rPr>
          <w:rFonts w:ascii="Times New Roman" w:eastAsia="Verdana" w:hAnsi="Times New Roman" w:cs="Times New Roman"/>
          <w:sz w:val="24"/>
          <w:szCs w:val="24"/>
          <w:lang w:eastAsia="bg-BG"/>
        </w:rPr>
      </w:pPr>
      <w:r w:rsidRPr="00954C13">
        <w:rPr>
          <w:rFonts w:ascii="Times New Roman" w:eastAsiaTheme="minorEastAsia" w:hAnsi="Times New Roman" w:cs="Times New Roman"/>
          <w:sz w:val="24"/>
          <w:szCs w:val="24"/>
          <w:lang w:eastAsia="bg-BG"/>
        </w:rPr>
        <w:t xml:space="preserve">Целта на предложението е правна сигурност и предвидимост посредством предвиждането на приемането от министъра на транспорта и съобщенията (посредством разширяване на обхвата на Методиката по чл. 3, ал. 5 от ЗЕСМФИ) на </w:t>
      </w:r>
      <w:r w:rsidRPr="00954C13">
        <w:rPr>
          <w:rFonts w:ascii="Times New Roman" w:eastAsiaTheme="minorEastAsia" w:hAnsi="Times New Roman" w:cs="Times New Roman"/>
          <w:bCs/>
          <w:sz w:val="24"/>
          <w:szCs w:val="24"/>
          <w:lang w:eastAsia="bg-BG"/>
        </w:rPr>
        <w:t xml:space="preserve">ясни и конкретни правила в две посоки: </w:t>
      </w:r>
    </w:p>
    <w:p w14:paraId="727B4C1F" w14:textId="77777777" w:rsidR="00CE6F25" w:rsidRPr="00954C13" w:rsidRDefault="00CE6F25" w:rsidP="00677BCF">
      <w:pPr>
        <w:numPr>
          <w:ilvl w:val="1"/>
          <w:numId w:val="12"/>
        </w:numPr>
        <w:tabs>
          <w:tab w:val="clear" w:pos="1440"/>
          <w:tab w:val="left" w:pos="1080"/>
        </w:tabs>
        <w:autoSpaceDE w:val="0"/>
        <w:autoSpaceDN w:val="0"/>
        <w:adjustRightInd w:val="0"/>
        <w:spacing w:after="120" w:line="240" w:lineRule="auto"/>
        <w:ind w:left="90" w:firstLine="450"/>
        <w:jc w:val="both"/>
        <w:rPr>
          <w:rFonts w:ascii="Times New Roman" w:eastAsiaTheme="minorEastAsia" w:hAnsi="Times New Roman" w:cs="Times New Roman"/>
          <w:sz w:val="24"/>
          <w:szCs w:val="24"/>
          <w:lang w:eastAsia="bg-BG"/>
        </w:rPr>
      </w:pPr>
      <w:r w:rsidRPr="00954C13">
        <w:rPr>
          <w:rFonts w:ascii="Times New Roman" w:eastAsiaTheme="minorEastAsia" w:hAnsi="Times New Roman" w:cs="Times New Roman"/>
          <w:bCs/>
          <w:sz w:val="24"/>
          <w:szCs w:val="24"/>
          <w:lang w:eastAsia="bg-BG"/>
        </w:rPr>
        <w:t xml:space="preserve">за изчисляване на размера на обезщетенията за възникнали сервитути по чл. 31, ал. 2, т. 2 върху имоти, които са частна държавна и общинска собственост </w:t>
      </w:r>
      <w:r w:rsidRPr="00954C13">
        <w:rPr>
          <w:rFonts w:ascii="Times New Roman" w:eastAsiaTheme="minorEastAsia" w:hAnsi="Times New Roman" w:cs="Times New Roman"/>
          <w:sz w:val="24"/>
          <w:szCs w:val="24"/>
          <w:lang w:eastAsia="bg-BG"/>
        </w:rPr>
        <w:t>(това е покрито от първата част на предложението: “</w:t>
      </w:r>
      <w:r w:rsidRPr="00954C13">
        <w:rPr>
          <w:rFonts w:ascii="Times New Roman" w:eastAsiaTheme="minorEastAsia" w:hAnsi="Times New Roman" w:cs="Times New Roman"/>
          <w:i/>
          <w:iCs/>
          <w:sz w:val="24"/>
          <w:szCs w:val="24"/>
          <w:lang w:eastAsia="bg-BG"/>
        </w:rPr>
        <w:t>С методиката се определят и правилата за изчисляване на размера на обезщетенията за възникнали сервитути по чл. 31, ал. 2, т. 2 върху имоти – частна държавна или общинска собственост</w:t>
      </w:r>
      <w:r w:rsidRPr="00954C13">
        <w:rPr>
          <w:rFonts w:ascii="Times New Roman" w:eastAsiaTheme="minorEastAsia" w:hAnsi="Times New Roman" w:cs="Times New Roman"/>
          <w:sz w:val="24"/>
          <w:szCs w:val="24"/>
          <w:lang w:eastAsia="bg-BG"/>
        </w:rPr>
        <w:t>”)</w:t>
      </w:r>
    </w:p>
    <w:p w14:paraId="7F242AE8" w14:textId="77777777" w:rsidR="00CE6F25" w:rsidRPr="00954C13" w:rsidRDefault="00CE6F25" w:rsidP="00677BCF">
      <w:pPr>
        <w:numPr>
          <w:ilvl w:val="1"/>
          <w:numId w:val="12"/>
        </w:numPr>
        <w:tabs>
          <w:tab w:val="clear" w:pos="1440"/>
          <w:tab w:val="left" w:pos="1080"/>
        </w:tabs>
        <w:autoSpaceDE w:val="0"/>
        <w:autoSpaceDN w:val="0"/>
        <w:adjustRightInd w:val="0"/>
        <w:spacing w:after="120" w:line="240" w:lineRule="auto"/>
        <w:ind w:left="90" w:firstLine="450"/>
        <w:jc w:val="both"/>
        <w:rPr>
          <w:rFonts w:ascii="Times New Roman" w:eastAsiaTheme="minorEastAsia" w:hAnsi="Times New Roman" w:cs="Times New Roman"/>
          <w:sz w:val="24"/>
          <w:szCs w:val="24"/>
          <w:lang w:eastAsia="bg-BG"/>
        </w:rPr>
      </w:pPr>
      <w:r w:rsidRPr="00954C13">
        <w:rPr>
          <w:rFonts w:ascii="Times New Roman" w:eastAsiaTheme="minorEastAsia" w:hAnsi="Times New Roman" w:cs="Times New Roman"/>
          <w:bCs/>
          <w:sz w:val="24"/>
          <w:szCs w:val="24"/>
          <w:lang w:eastAsia="bg-BG"/>
        </w:rPr>
        <w:t>както и за учредяването на други ограничени вещни права върху имоти – публична и частна държавна и общинска собственост (различни от сервитути)</w:t>
      </w:r>
      <w:r w:rsidRPr="00954C13">
        <w:rPr>
          <w:rFonts w:ascii="Times New Roman" w:eastAsiaTheme="minorEastAsia" w:hAnsi="Times New Roman" w:cs="Times New Roman"/>
          <w:sz w:val="24"/>
          <w:szCs w:val="24"/>
          <w:lang w:eastAsia="bg-BG"/>
        </w:rPr>
        <w:t>, което е покрито от втората част на предложението: „</w:t>
      </w:r>
      <w:r w:rsidRPr="00954C13">
        <w:rPr>
          <w:rFonts w:ascii="Times New Roman" w:eastAsiaTheme="minorEastAsia" w:hAnsi="Times New Roman" w:cs="Times New Roman"/>
          <w:i/>
          <w:iCs/>
          <w:sz w:val="24"/>
          <w:szCs w:val="24"/>
          <w:lang w:eastAsia="bg-BG"/>
        </w:rPr>
        <w:t>както и за учредяването на други ограничени вещни права върху имоти публична или частна държавна или общинска собственост за изграждане на нова или разширяване на съществуваща физическа инфраструктура за разполагане на електронни съобщителни мрежи</w:t>
      </w:r>
      <w:r w:rsidRPr="00954C13">
        <w:rPr>
          <w:rFonts w:ascii="Times New Roman" w:eastAsiaTheme="minorEastAsia" w:hAnsi="Times New Roman" w:cs="Times New Roman"/>
          <w:sz w:val="24"/>
          <w:szCs w:val="24"/>
          <w:lang w:eastAsia="bg-BG"/>
        </w:rPr>
        <w:t>“.</w:t>
      </w:r>
    </w:p>
    <w:p w14:paraId="2E7D34D8" w14:textId="77777777" w:rsidR="00EB588C" w:rsidRPr="00954C13" w:rsidRDefault="00CE6F25" w:rsidP="00474EC6">
      <w:pPr>
        <w:autoSpaceDE w:val="0"/>
        <w:autoSpaceDN w:val="0"/>
        <w:adjustRightInd w:val="0"/>
        <w:spacing w:after="120" w:line="240" w:lineRule="auto"/>
        <w:ind w:firstLine="567"/>
        <w:jc w:val="both"/>
        <w:rPr>
          <w:rFonts w:ascii="Times New Roman" w:eastAsiaTheme="minorEastAsia" w:hAnsi="Times New Roman" w:cs="Times New Roman"/>
          <w:sz w:val="24"/>
          <w:szCs w:val="24"/>
          <w:lang w:eastAsia="bg-BG"/>
        </w:rPr>
      </w:pPr>
      <w:r w:rsidRPr="00954C13">
        <w:rPr>
          <w:rFonts w:ascii="Times New Roman" w:eastAsiaTheme="minorEastAsia" w:hAnsi="Times New Roman" w:cs="Times New Roman"/>
          <w:sz w:val="24"/>
          <w:szCs w:val="24"/>
          <w:lang w:eastAsia="bg-BG"/>
        </w:rPr>
        <w:t>Предложението не цели обхващане с методиката на сервитутите по чл. 31, ал. 3, доколкото за тях в закон, нито чисто частната собственост, доколкото там уговарянето на обезщетението е при свобода на волята на страните, а ще създаде по-ясни правила и ще стимулира конкуренцията.</w:t>
      </w:r>
    </w:p>
    <w:p w14:paraId="762D2ECF" w14:textId="7019B495" w:rsidR="00CE6F25" w:rsidRPr="00954C13" w:rsidRDefault="00EB588C" w:rsidP="00474EC6">
      <w:pPr>
        <w:autoSpaceDE w:val="0"/>
        <w:autoSpaceDN w:val="0"/>
        <w:adjustRightInd w:val="0"/>
        <w:spacing w:after="120" w:line="240" w:lineRule="auto"/>
        <w:ind w:firstLine="567"/>
        <w:jc w:val="both"/>
        <w:rPr>
          <w:rFonts w:ascii="Times New Roman" w:eastAsiaTheme="minorEastAsia" w:hAnsi="Times New Roman" w:cs="Times New Roman"/>
          <w:sz w:val="24"/>
          <w:szCs w:val="24"/>
          <w:lang w:eastAsia="bg-BG"/>
        </w:rPr>
      </w:pPr>
      <w:r w:rsidRPr="00954C13">
        <w:rPr>
          <w:rFonts w:ascii="Times New Roman" w:eastAsiaTheme="minorEastAsia" w:hAnsi="Times New Roman" w:cs="Times New Roman"/>
          <w:sz w:val="24"/>
          <w:szCs w:val="24"/>
          <w:lang w:eastAsia="bg-BG"/>
        </w:rPr>
        <w:t xml:space="preserve">С предложеното допълнение на чл. 50, ал. 3, точка 1 от ЗЕСМФИ ще се въведат реални мерки за облекчаване на режима, приложим по общия ред на ЗУТ. Ще се създават условия за опростяване на административните процедури, свързани с издаването на актове от компетентните органи за изграждане, поддържане, развитие и модернизиране на физическа инфраструктура за разполагане на електронни съобщителни мрежи в </w:t>
      </w:r>
      <w:r w:rsidRPr="00954C13">
        <w:rPr>
          <w:rFonts w:ascii="Times New Roman" w:eastAsiaTheme="minorEastAsia" w:hAnsi="Times New Roman" w:cs="Times New Roman"/>
          <w:sz w:val="24"/>
          <w:szCs w:val="24"/>
          <w:lang w:eastAsia="bg-BG"/>
        </w:rPr>
        <w:lastRenderedPageBreak/>
        <w:t>съществуващите пътища, находящи се в труднодостъпни населени места, обширните земеделски и горски територии.</w:t>
      </w:r>
      <w:r w:rsidR="00CE6F25" w:rsidRPr="00954C13">
        <w:rPr>
          <w:rFonts w:ascii="Times New Roman" w:eastAsiaTheme="minorEastAsia" w:hAnsi="Times New Roman" w:cs="Times New Roman"/>
          <w:sz w:val="24"/>
          <w:szCs w:val="24"/>
          <w:lang w:eastAsia="bg-BG"/>
        </w:rPr>
        <w:t xml:space="preserve"> </w:t>
      </w:r>
    </w:p>
    <w:p w14:paraId="0C125EDB" w14:textId="115775D9" w:rsidR="00EB588C" w:rsidRPr="00954C13"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954C13">
        <w:rPr>
          <w:rFonts w:ascii="Times New Roman" w:eastAsiaTheme="minorEastAsia" w:hAnsi="Times New Roman" w:cs="Times New Roman"/>
          <w:iCs/>
          <w:sz w:val="24"/>
          <w:szCs w:val="24"/>
          <w:lang w:eastAsia="bg-BG"/>
        </w:rPr>
        <w:t xml:space="preserve">Целта на предложението е да се уточнят видове пътища и пътни съоръжения, в обхвата на които не е необходимо да се процедира подробен устройствен план. Не е необходимо да се уточнява вида собственост. Сред изброените линейни обекти има електропроводи, газопроводи, водопроводни и канализационни мрежи, които не са публична собственост, а са част от капитала на търговски дружества. </w:t>
      </w:r>
    </w:p>
    <w:p w14:paraId="5672D0D0" w14:textId="50F664C8" w:rsidR="00EB588C" w:rsidRPr="00954C13" w:rsidRDefault="00EB588C" w:rsidP="00677BCF">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954C13">
        <w:rPr>
          <w:rFonts w:ascii="Times New Roman" w:eastAsiaTheme="minorEastAsia" w:hAnsi="Times New Roman" w:cs="Times New Roman"/>
          <w:iCs/>
          <w:sz w:val="24"/>
          <w:szCs w:val="24"/>
          <w:lang w:eastAsia="bg-BG"/>
        </w:rPr>
        <w:t xml:space="preserve">Националната законодателна рамка традиционно е една от най-стриктните в ЕС. ЗЕСМФИ, транспонирайки Директива 2014/61/ЕС на Европейския парламент и на Съвета от 15 май 2014 г. относно мерките за намаляване на разходите за разгръщане на високоскоростни електронни съобщителни мрежи, за първи път въведе </w:t>
      </w:r>
      <w:r w:rsidRPr="00954C13">
        <w:rPr>
          <w:rFonts w:ascii="Times New Roman" w:eastAsiaTheme="minorEastAsia" w:hAnsi="Times New Roman" w:cs="Times New Roman"/>
          <w:bCs/>
          <w:iCs/>
          <w:sz w:val="24"/>
          <w:szCs w:val="24"/>
          <w:lang w:eastAsia="bg-BG"/>
        </w:rPr>
        <w:t>принципното разграничение между пасивните елементи (физическата инфраструктура) и инсталираното по тях активни елементи и оборудване (приемно-предавателните станции)</w:t>
      </w:r>
      <w:r w:rsidRPr="00954C13">
        <w:rPr>
          <w:rFonts w:ascii="Times New Roman" w:eastAsiaTheme="minorEastAsia" w:hAnsi="Times New Roman" w:cs="Times New Roman"/>
          <w:iCs/>
          <w:sz w:val="24"/>
          <w:szCs w:val="24"/>
          <w:lang w:eastAsia="bg-BG"/>
        </w:rPr>
        <w:t xml:space="preserve">. Макар и законодателно закрепено обаче, посоченото разграничение </w:t>
      </w:r>
      <w:r w:rsidRPr="00954C13">
        <w:rPr>
          <w:rFonts w:ascii="Times New Roman" w:eastAsiaTheme="minorEastAsia" w:hAnsi="Times New Roman" w:cs="Times New Roman"/>
          <w:bCs/>
          <w:iCs/>
          <w:sz w:val="24"/>
          <w:szCs w:val="24"/>
          <w:lang w:eastAsia="bg-BG"/>
        </w:rPr>
        <w:t>не беше въведено на практика посредством адекватни законодателни механизми и съответно не постигна целта си</w:t>
      </w:r>
      <w:r w:rsidRPr="00954C13">
        <w:rPr>
          <w:rFonts w:ascii="Times New Roman" w:eastAsiaTheme="minorEastAsia" w:hAnsi="Times New Roman" w:cs="Times New Roman"/>
          <w:iCs/>
          <w:sz w:val="24"/>
          <w:szCs w:val="24"/>
          <w:lang w:eastAsia="bg-BG"/>
        </w:rPr>
        <w:t>. Относно строителния режим чл. 47, ал. 1 от ЗЕСМФИ препраща към ЗУТ, в който</w:t>
      </w:r>
      <w:r w:rsidR="00677BCF" w:rsidRPr="00954C13">
        <w:rPr>
          <w:rFonts w:ascii="Times New Roman" w:eastAsiaTheme="minorEastAsia" w:hAnsi="Times New Roman" w:cs="Times New Roman"/>
          <w:iCs/>
          <w:sz w:val="24"/>
          <w:szCs w:val="24"/>
          <w:lang w:eastAsia="bg-BG"/>
        </w:rPr>
        <w:t xml:space="preserve"> </w:t>
      </w:r>
      <w:r w:rsidRPr="00954C13">
        <w:rPr>
          <w:rFonts w:ascii="Times New Roman" w:eastAsiaTheme="minorEastAsia" w:hAnsi="Times New Roman" w:cs="Times New Roman"/>
          <w:bCs/>
          <w:iCs/>
          <w:sz w:val="24"/>
          <w:szCs w:val="24"/>
          <w:lang w:eastAsia="bg-BG"/>
        </w:rPr>
        <w:t>строежите се разглеждат като съвкупност на елементи и съоръжения като липсва ясно разграничение между физическа инфраструктура и активно оборудване (приемно-предавателна станция)</w:t>
      </w:r>
      <w:r w:rsidRPr="00954C13">
        <w:rPr>
          <w:rFonts w:ascii="Times New Roman" w:eastAsiaTheme="minorEastAsia" w:hAnsi="Times New Roman" w:cs="Times New Roman"/>
          <w:iCs/>
          <w:sz w:val="24"/>
          <w:szCs w:val="24"/>
          <w:lang w:eastAsia="bg-BG"/>
        </w:rPr>
        <w:t xml:space="preserve">. Липсата на такова </w:t>
      </w:r>
      <w:r w:rsidRPr="00954C13">
        <w:rPr>
          <w:rFonts w:ascii="Times New Roman" w:eastAsiaTheme="minorEastAsia" w:hAnsi="Times New Roman" w:cs="Times New Roman"/>
          <w:bCs/>
          <w:iCs/>
          <w:sz w:val="24"/>
          <w:szCs w:val="24"/>
          <w:lang w:eastAsia="bg-BG"/>
        </w:rPr>
        <w:t>съществено ограничава пълноценното и ефективно прилагане на облекчения ред, който беше приет именно, за да облекчи инсталирането на елементи за целите на развитие на 5G</w:t>
      </w:r>
      <w:r w:rsidRPr="00954C13">
        <w:rPr>
          <w:rFonts w:ascii="Times New Roman" w:eastAsiaTheme="minorEastAsia" w:hAnsi="Times New Roman" w:cs="Times New Roman"/>
          <w:iCs/>
          <w:sz w:val="24"/>
          <w:szCs w:val="24"/>
          <w:lang w:eastAsia="bg-BG"/>
        </w:rPr>
        <w:t xml:space="preserve">. Опитите за регламентирането на т.н. „облекчен“ или „лек“ режим, насочен именно към разполагане на активно оборудване, в чл. 151, ал. 1, т. 16, беше стъпка в тази посока, но очевидно изолирането му уреждане, без други промени в ЗУТ, ограничи значително практическото му приложение, което е много спорадично за сектора. Междувременно след приемането му, самите текстове на лекия режим претърпяха промени, с които бяха въведени допълнителни изисквания, създаващи допълнителни затруднения в тълкуването и прилагането му.   </w:t>
      </w:r>
    </w:p>
    <w:p w14:paraId="0DC18C7D" w14:textId="47D5A8BA" w:rsidR="00EB588C" w:rsidRPr="00954C13" w:rsidRDefault="00EB588C" w:rsidP="00677BCF">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954C13">
        <w:rPr>
          <w:rFonts w:ascii="Times New Roman" w:eastAsiaTheme="minorEastAsia" w:hAnsi="Times New Roman" w:cs="Times New Roman"/>
          <w:iCs/>
          <w:sz w:val="24"/>
          <w:szCs w:val="24"/>
          <w:lang w:eastAsia="bg-BG"/>
        </w:rPr>
        <w:t>Поради липсата на горепосоченото разграничение, на практика ЗУТ познава само трета категория строеж, доколкото предмет са каквито и да било елементи на мобилната мрежа.</w:t>
      </w:r>
    </w:p>
    <w:p w14:paraId="5537517B" w14:textId="77777777" w:rsidR="00EB588C" w:rsidRPr="00954C13"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954C13">
        <w:rPr>
          <w:rFonts w:ascii="Times New Roman" w:eastAsiaTheme="minorEastAsia" w:hAnsi="Times New Roman" w:cs="Times New Roman"/>
          <w:iCs/>
          <w:sz w:val="24"/>
          <w:szCs w:val="24"/>
          <w:lang w:eastAsia="bg-BG"/>
        </w:rPr>
        <w:t xml:space="preserve">От друга страна, за да се изпълнят ефективно целите по чл. 2 от ЗЕСМФИ е необходимо посоченото разграничение да се </w:t>
      </w:r>
      <w:r w:rsidRPr="00954C13">
        <w:rPr>
          <w:rFonts w:ascii="Times New Roman" w:eastAsiaTheme="minorEastAsia" w:hAnsi="Times New Roman" w:cs="Times New Roman"/>
          <w:bCs/>
          <w:iCs/>
          <w:sz w:val="24"/>
          <w:szCs w:val="24"/>
          <w:lang w:eastAsia="bg-BG"/>
        </w:rPr>
        <w:t xml:space="preserve">въведе и в ЗУТ, като се вземат предвид основните характеристики на различните видове строителни обекти, изграждани от телеком операторите. </w:t>
      </w:r>
      <w:r w:rsidRPr="00954C13">
        <w:rPr>
          <w:rFonts w:ascii="Times New Roman" w:eastAsiaTheme="minorEastAsia" w:hAnsi="Times New Roman" w:cs="Times New Roman"/>
          <w:iCs/>
          <w:sz w:val="24"/>
          <w:szCs w:val="24"/>
          <w:lang w:eastAsia="bg-BG"/>
        </w:rPr>
        <w:t xml:space="preserve">В предложението ни различните видове строителни обекти, респ. дейности, следват различен режим. </w:t>
      </w:r>
    </w:p>
    <w:p w14:paraId="463DACC2" w14:textId="03706B3D" w:rsidR="00EB588C" w:rsidRPr="00954C13"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954C13">
        <w:rPr>
          <w:rFonts w:ascii="Times New Roman" w:eastAsiaTheme="minorEastAsia" w:hAnsi="Times New Roman" w:cs="Times New Roman"/>
          <w:bCs/>
          <w:iCs/>
          <w:sz w:val="24"/>
          <w:szCs w:val="24"/>
          <w:lang w:eastAsia="bg-BG"/>
        </w:rPr>
        <w:t>На първо място,</w:t>
      </w:r>
      <w:r w:rsidRPr="00954C13">
        <w:rPr>
          <w:rFonts w:ascii="Times New Roman" w:eastAsiaTheme="minorEastAsia" w:hAnsi="Times New Roman" w:cs="Times New Roman"/>
          <w:iCs/>
          <w:sz w:val="24"/>
          <w:szCs w:val="24"/>
          <w:lang w:eastAsia="bg-BG"/>
        </w:rPr>
        <w:t xml:space="preserve"> предложението за промяна в чл. 137, ал. 1, т. 3, б. „з“ ЗУТ отчита сложността и рисковете при въвеждане в експлоатация на </w:t>
      </w:r>
      <w:r w:rsidRPr="00954C13">
        <w:rPr>
          <w:rFonts w:ascii="Times New Roman" w:eastAsiaTheme="minorEastAsia" w:hAnsi="Times New Roman" w:cs="Times New Roman"/>
          <w:bCs/>
          <w:iCs/>
          <w:sz w:val="24"/>
          <w:szCs w:val="24"/>
          <w:lang w:eastAsia="bg-BG"/>
        </w:rPr>
        <w:t xml:space="preserve">физическа инфраструктура, трайно </w:t>
      </w:r>
      <w:r w:rsidR="00954C13" w:rsidRPr="00954C13">
        <w:rPr>
          <w:rFonts w:ascii="Times New Roman" w:eastAsiaTheme="minorEastAsia" w:hAnsi="Times New Roman" w:cs="Times New Roman"/>
          <w:bCs/>
          <w:iCs/>
          <w:sz w:val="24"/>
          <w:szCs w:val="24"/>
          <w:lang w:eastAsia="bg-BG"/>
        </w:rPr>
        <w:t>прикрепена</w:t>
      </w:r>
      <w:r w:rsidRPr="00954C13">
        <w:rPr>
          <w:rFonts w:ascii="Times New Roman" w:eastAsiaTheme="minorEastAsia" w:hAnsi="Times New Roman" w:cs="Times New Roman"/>
          <w:bCs/>
          <w:iCs/>
          <w:sz w:val="24"/>
          <w:szCs w:val="24"/>
          <w:lang w:eastAsia="bg-BG"/>
        </w:rPr>
        <w:t xml:space="preserve"> към терена чрез бетонов фундамент, и </w:t>
      </w:r>
      <w:r w:rsidR="00954C13" w:rsidRPr="00954C13">
        <w:rPr>
          <w:rFonts w:ascii="Times New Roman" w:eastAsiaTheme="minorEastAsia" w:hAnsi="Times New Roman" w:cs="Times New Roman"/>
          <w:bCs/>
          <w:iCs/>
          <w:sz w:val="24"/>
          <w:szCs w:val="24"/>
          <w:lang w:eastAsia="bg-BG"/>
        </w:rPr>
        <w:t>предназначена</w:t>
      </w:r>
      <w:r w:rsidRPr="00954C13">
        <w:rPr>
          <w:rFonts w:ascii="Times New Roman" w:eastAsiaTheme="minorEastAsia" w:hAnsi="Times New Roman" w:cs="Times New Roman"/>
          <w:bCs/>
          <w:iCs/>
          <w:sz w:val="24"/>
          <w:szCs w:val="24"/>
          <w:lang w:eastAsia="bg-BG"/>
        </w:rPr>
        <w:t xml:space="preserve"> за разполагане на активно оборудване, в това число кули, мачти и др., наричани от операторите </w:t>
      </w:r>
      <w:proofErr w:type="spellStart"/>
      <w:r w:rsidRPr="00954C13">
        <w:rPr>
          <w:rFonts w:ascii="Times New Roman" w:eastAsiaTheme="minorEastAsia" w:hAnsi="Times New Roman" w:cs="Times New Roman"/>
          <w:bCs/>
          <w:iCs/>
          <w:sz w:val="24"/>
          <w:szCs w:val="24"/>
          <w:lang w:eastAsia="bg-BG"/>
        </w:rPr>
        <w:t>greenfield</w:t>
      </w:r>
      <w:proofErr w:type="spellEnd"/>
      <w:r w:rsidRPr="00954C13">
        <w:rPr>
          <w:rFonts w:ascii="Times New Roman" w:eastAsiaTheme="minorEastAsia" w:hAnsi="Times New Roman" w:cs="Times New Roman"/>
          <w:bCs/>
          <w:iCs/>
          <w:sz w:val="24"/>
          <w:szCs w:val="24"/>
          <w:lang w:eastAsia="bg-BG"/>
        </w:rPr>
        <w:t xml:space="preserve"> и най-често ползвани вън от населените места, а в определени случаи и в тях</w:t>
      </w:r>
      <w:r w:rsidRPr="00954C13">
        <w:rPr>
          <w:rFonts w:ascii="Times New Roman" w:eastAsiaTheme="minorEastAsia" w:hAnsi="Times New Roman" w:cs="Times New Roman"/>
          <w:iCs/>
          <w:sz w:val="24"/>
          <w:szCs w:val="24"/>
          <w:lang w:eastAsia="bg-BG"/>
        </w:rPr>
        <w:t xml:space="preserve">. Ако при въвеждането им в експлоатация се монтира и активно оборудване, в съответствие с предвиденото </w:t>
      </w:r>
      <w:bookmarkStart w:id="0" w:name="_GoBack"/>
      <w:bookmarkEnd w:id="0"/>
      <w:r w:rsidRPr="00954C13">
        <w:rPr>
          <w:rFonts w:ascii="Times New Roman" w:eastAsiaTheme="minorEastAsia" w:hAnsi="Times New Roman" w:cs="Times New Roman"/>
          <w:iCs/>
          <w:sz w:val="24"/>
          <w:szCs w:val="24"/>
          <w:lang w:eastAsia="bg-BG"/>
        </w:rPr>
        <w:t xml:space="preserve">по-долу в чл. 151, ал. 2 ЗУТ, то ще приеме по-високата, т.е. трета категория. За тези случаи практически не е налице промяна. Прецизирането е насочено към споменатото разграничение на активното от пасивното оборудване при изграждането на различни типове обекти.  </w:t>
      </w:r>
    </w:p>
    <w:p w14:paraId="4719567C" w14:textId="77777777" w:rsidR="00EB588C" w:rsidRPr="00954C13"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954C13">
        <w:rPr>
          <w:rFonts w:ascii="Times New Roman" w:eastAsiaTheme="minorEastAsia" w:hAnsi="Times New Roman" w:cs="Times New Roman"/>
          <w:bCs/>
          <w:iCs/>
          <w:sz w:val="24"/>
          <w:szCs w:val="24"/>
          <w:lang w:eastAsia="bg-BG"/>
        </w:rPr>
        <w:t>Действителна промяна</w:t>
      </w:r>
      <w:r w:rsidRPr="00954C13">
        <w:rPr>
          <w:rFonts w:ascii="Times New Roman" w:eastAsiaTheme="minorEastAsia" w:hAnsi="Times New Roman" w:cs="Times New Roman"/>
          <w:iCs/>
          <w:sz w:val="24"/>
          <w:szCs w:val="24"/>
          <w:lang w:eastAsia="bg-BG"/>
        </w:rPr>
        <w:t xml:space="preserve"> е налице в чл. 137, ал. 1, т. 5, буква „д“ ЗУТ – тя касае въвеждането на по-ниска категория за останалите видове физическа инфраструктура, </w:t>
      </w:r>
      <w:proofErr w:type="spellStart"/>
      <w:r w:rsidRPr="00954C13">
        <w:rPr>
          <w:rFonts w:ascii="Times New Roman" w:eastAsiaTheme="minorEastAsia" w:hAnsi="Times New Roman" w:cs="Times New Roman"/>
          <w:iCs/>
          <w:sz w:val="24"/>
          <w:szCs w:val="24"/>
          <w:lang w:eastAsia="bg-BG"/>
        </w:rPr>
        <w:lastRenderedPageBreak/>
        <w:t>непосочени</w:t>
      </w:r>
      <w:proofErr w:type="spellEnd"/>
      <w:r w:rsidRPr="00954C13">
        <w:rPr>
          <w:rFonts w:ascii="Times New Roman" w:eastAsiaTheme="minorEastAsia" w:hAnsi="Times New Roman" w:cs="Times New Roman"/>
          <w:iCs/>
          <w:sz w:val="24"/>
          <w:szCs w:val="24"/>
          <w:lang w:eastAsia="bg-BG"/>
        </w:rPr>
        <w:t xml:space="preserve"> в чл. 137, ал. 1, т. 3, б. „з“, респ. т. 6 ЗУТ. Това обикновено е физическа инфраструктура за разполагане на приемно-предавателни станции (активно оборудване) върху покриви или фасади на сгради. Следва да се отбележи, че тук, за разлика от горната хипотеза, е налице въведена в експлоатация сграда или съоръжение, а физическата инфраструктура се монтира и разполага върху покрив или фасада, при което отново ще е налице строеж с всички приложими изисквания за съответната категория по чл. 137, ал. 1, т. 5 ЗУТ. Ето защо контрол ще е налице, респ. не са налице по-големи рискове спрямо предходния режим.     </w:t>
      </w:r>
    </w:p>
    <w:p w14:paraId="32179BE1" w14:textId="77777777" w:rsidR="00EB588C" w:rsidRPr="00954C13"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954C13">
        <w:rPr>
          <w:rFonts w:ascii="Times New Roman" w:eastAsiaTheme="minorEastAsia" w:hAnsi="Times New Roman" w:cs="Times New Roman"/>
          <w:iCs/>
          <w:sz w:val="24"/>
          <w:szCs w:val="24"/>
          <w:lang w:eastAsia="bg-BG"/>
        </w:rPr>
        <w:t>Както и до момента</w:t>
      </w:r>
      <w:r w:rsidRPr="00954C13">
        <w:rPr>
          <w:rFonts w:ascii="Times New Roman" w:eastAsiaTheme="minorEastAsia" w:hAnsi="Times New Roman" w:cs="Times New Roman"/>
          <w:bCs/>
          <w:iCs/>
          <w:sz w:val="24"/>
          <w:szCs w:val="24"/>
          <w:lang w:eastAsia="bg-BG"/>
        </w:rPr>
        <w:t xml:space="preserve">, инсталационните дейности, които не оказват въздействие върху основните характеристики на сградите като конструкция, </w:t>
      </w:r>
      <w:proofErr w:type="spellStart"/>
      <w:r w:rsidRPr="00954C13">
        <w:rPr>
          <w:rFonts w:ascii="Times New Roman" w:eastAsiaTheme="minorEastAsia" w:hAnsi="Times New Roman" w:cs="Times New Roman"/>
          <w:bCs/>
          <w:iCs/>
          <w:sz w:val="24"/>
          <w:szCs w:val="24"/>
          <w:lang w:eastAsia="bg-BG"/>
        </w:rPr>
        <w:t>товароносимост</w:t>
      </w:r>
      <w:proofErr w:type="spellEnd"/>
      <w:r w:rsidRPr="00954C13">
        <w:rPr>
          <w:rFonts w:ascii="Times New Roman" w:eastAsiaTheme="minorEastAsia" w:hAnsi="Times New Roman" w:cs="Times New Roman"/>
          <w:bCs/>
          <w:iCs/>
          <w:sz w:val="24"/>
          <w:szCs w:val="24"/>
          <w:lang w:eastAsia="bg-BG"/>
        </w:rPr>
        <w:t xml:space="preserve"> и други характеристики, са предмет на облекчения режим, като последните не представляват строеж по смисъла на ЗУТ. </w:t>
      </w:r>
      <w:r w:rsidRPr="00954C13">
        <w:rPr>
          <w:rFonts w:ascii="Times New Roman" w:eastAsiaTheme="minorEastAsia" w:hAnsi="Times New Roman" w:cs="Times New Roman"/>
          <w:iCs/>
          <w:sz w:val="24"/>
          <w:szCs w:val="24"/>
          <w:lang w:eastAsia="bg-BG"/>
        </w:rPr>
        <w:t xml:space="preserve">Това обикновено са дейности, насочени към разполагане на активно оборудване. </w:t>
      </w:r>
    </w:p>
    <w:p w14:paraId="36DD36F8" w14:textId="7883DFCA" w:rsidR="00E033DA" w:rsidRPr="00954C13" w:rsidRDefault="00C62D14" w:rsidP="00474EC6">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954C13">
        <w:rPr>
          <w:rFonts w:ascii="Times New Roman" w:eastAsiaTheme="minorEastAsia" w:hAnsi="Times New Roman" w:cs="Times New Roman"/>
          <w:sz w:val="24"/>
          <w:szCs w:val="24"/>
          <w:lang w:eastAsia="bg-BG"/>
        </w:rPr>
        <w:t>Предлаганите и</w:t>
      </w:r>
      <w:r w:rsidR="00E033DA" w:rsidRPr="00954C13">
        <w:rPr>
          <w:rFonts w:ascii="Times New Roman" w:eastAsiaTheme="minorEastAsia" w:hAnsi="Times New Roman" w:cs="Times New Roman"/>
          <w:sz w:val="24"/>
          <w:szCs w:val="24"/>
          <w:lang w:eastAsia="bg-BG"/>
        </w:rPr>
        <w:t xml:space="preserve">зменения и допълнения в чл. 33, ал. 6 и 7 от ЗЕС и чл. 151, ал. 4 (нова ал. 5) и ал. 8 и 9 (нови ал. 9 и 10) от ЗУТ са с оглед на приетите </w:t>
      </w:r>
      <w:r w:rsidRPr="00954C13">
        <w:rPr>
          <w:rFonts w:ascii="Times New Roman" w:eastAsiaTheme="minorEastAsia" w:hAnsi="Times New Roman" w:cs="Times New Roman"/>
          <w:sz w:val="24"/>
          <w:szCs w:val="24"/>
          <w:lang w:eastAsia="bg-BG"/>
        </w:rPr>
        <w:t xml:space="preserve">междувременно </w:t>
      </w:r>
      <w:r w:rsidR="00E033DA" w:rsidRPr="00954C13">
        <w:rPr>
          <w:rFonts w:ascii="Times New Roman" w:eastAsiaTheme="minorEastAsia" w:hAnsi="Times New Roman" w:cs="Times New Roman"/>
          <w:sz w:val="24"/>
          <w:szCs w:val="24"/>
          <w:lang w:eastAsia="bg-BG"/>
        </w:rPr>
        <w:t xml:space="preserve">изменения и допълнения на ЗЕС (ДВ., бр. 58 от 2023 г.). Допълнително са отчетени разпоредбите на </w:t>
      </w:r>
      <w:r w:rsidR="00E033DA" w:rsidRPr="00954C13">
        <w:rPr>
          <w:rFonts w:ascii="Times New Roman" w:eastAsia="Verdana" w:hAnsi="Times New Roman" w:cs="Times New Roman"/>
          <w:sz w:val="24"/>
          <w:szCs w:val="24"/>
          <w:lang w:eastAsia="bg-BG"/>
        </w:rPr>
        <w:t xml:space="preserve">Закона за здравето и подзаконовите нормативни актове по неговото прилагане, съгласно които операторите на електронни съобщителни мрежи извършват само уведомяване на органите на държавния здравен контрол, т.е. не се прави формална регистрация пред последните. Липсата на формална регистрация пред органите на държавния здравен контрол </w:t>
      </w:r>
      <w:proofErr w:type="spellStart"/>
      <w:r w:rsidR="00E033DA" w:rsidRPr="00954C13">
        <w:rPr>
          <w:rFonts w:ascii="Times New Roman" w:eastAsia="Verdana" w:hAnsi="Times New Roman" w:cs="Times New Roman"/>
          <w:sz w:val="24"/>
          <w:szCs w:val="24"/>
          <w:lang w:eastAsia="bg-BG"/>
        </w:rPr>
        <w:t>de</w:t>
      </w:r>
      <w:proofErr w:type="spellEnd"/>
      <w:r w:rsidR="00E033DA" w:rsidRPr="00954C13">
        <w:rPr>
          <w:rFonts w:ascii="Times New Roman" w:eastAsia="Verdana" w:hAnsi="Times New Roman" w:cs="Times New Roman"/>
          <w:sz w:val="24"/>
          <w:szCs w:val="24"/>
          <w:lang w:eastAsia="bg-BG"/>
        </w:rPr>
        <w:t xml:space="preserve"> </w:t>
      </w:r>
      <w:proofErr w:type="spellStart"/>
      <w:r w:rsidR="00E033DA" w:rsidRPr="00954C13">
        <w:rPr>
          <w:rFonts w:ascii="Times New Roman" w:eastAsia="Verdana" w:hAnsi="Times New Roman" w:cs="Times New Roman"/>
          <w:sz w:val="24"/>
          <w:szCs w:val="24"/>
          <w:lang w:eastAsia="bg-BG"/>
        </w:rPr>
        <w:t>facto</w:t>
      </w:r>
      <w:proofErr w:type="spellEnd"/>
      <w:r w:rsidR="00E033DA" w:rsidRPr="00954C13">
        <w:rPr>
          <w:rFonts w:ascii="Times New Roman" w:eastAsia="Verdana" w:hAnsi="Times New Roman" w:cs="Times New Roman"/>
          <w:sz w:val="24"/>
          <w:szCs w:val="24"/>
          <w:lang w:eastAsia="bg-BG"/>
        </w:rPr>
        <w:t xml:space="preserve"> би блокирало самата процедурата по чл. 151, ал. 4-9 от ЗУТ.</w:t>
      </w:r>
    </w:p>
    <w:p w14:paraId="5F929412" w14:textId="47980F73" w:rsidR="00E033DA" w:rsidRPr="00954C13"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954C13">
        <w:rPr>
          <w:rFonts w:ascii="Times New Roman" w:eastAsiaTheme="minorEastAsia" w:hAnsi="Times New Roman" w:cs="Times New Roman"/>
          <w:sz w:val="24"/>
          <w:szCs w:val="24"/>
          <w:lang w:eastAsia="bg-BG"/>
        </w:rPr>
        <w:t xml:space="preserve">Отпадането на </w:t>
      </w:r>
      <w:r w:rsidRPr="00954C13">
        <w:rPr>
          <w:rFonts w:ascii="Times New Roman" w:eastAsia="Verdana" w:hAnsi="Times New Roman" w:cs="Times New Roman"/>
          <w:sz w:val="24"/>
          <w:szCs w:val="24"/>
          <w:lang w:eastAsia="bg-BG"/>
        </w:rPr>
        <w:t>служебното уведомяване от КРС на кметовете на съответните общини и районните здравни инспекции за регистрацията по чл. 33, ал. 7 е направено, предвид обстоятелството, че на практика би могло да доведе до забавяне на завършването на новата процедура за регистрация пред Комисията. По отношение на приемно-предавателните станции към момента на регистрацията в новия регистър на КРС кметовете на съответните общини и районните здравни инспекции вече ще са упражнили правомощия</w:t>
      </w:r>
      <w:r w:rsidR="001B2DF8" w:rsidRPr="00954C13">
        <w:rPr>
          <w:rFonts w:ascii="Times New Roman" w:eastAsia="Verdana" w:hAnsi="Times New Roman" w:cs="Times New Roman"/>
          <w:sz w:val="24"/>
          <w:szCs w:val="24"/>
          <w:lang w:eastAsia="bg-BG"/>
        </w:rPr>
        <w:t>та си</w:t>
      </w:r>
      <w:r w:rsidRPr="00954C13">
        <w:rPr>
          <w:rFonts w:ascii="Times New Roman" w:eastAsia="Verdana" w:hAnsi="Times New Roman" w:cs="Times New Roman"/>
          <w:sz w:val="24"/>
          <w:szCs w:val="24"/>
          <w:lang w:eastAsia="bg-BG"/>
        </w:rPr>
        <w:t xml:space="preserve"> в </w:t>
      </w:r>
      <w:r w:rsidR="001B2DF8" w:rsidRPr="00954C13">
        <w:rPr>
          <w:rFonts w:ascii="Times New Roman" w:eastAsia="Verdana" w:hAnsi="Times New Roman" w:cs="Times New Roman"/>
          <w:sz w:val="24"/>
          <w:szCs w:val="24"/>
          <w:lang w:eastAsia="bg-BG"/>
        </w:rPr>
        <w:t>процедурата по ЗУТ, свързана с разрешаване на строителството</w:t>
      </w:r>
      <w:r w:rsidRPr="00954C13">
        <w:rPr>
          <w:rFonts w:ascii="Times New Roman" w:eastAsia="Verdana" w:hAnsi="Times New Roman" w:cs="Times New Roman"/>
          <w:sz w:val="24"/>
          <w:szCs w:val="24"/>
          <w:lang w:eastAsia="bg-BG"/>
        </w:rPr>
        <w:t xml:space="preserve">. </w:t>
      </w:r>
      <w:r w:rsidR="001B2DF8" w:rsidRPr="00954C13">
        <w:rPr>
          <w:rFonts w:ascii="Times New Roman" w:eastAsia="Verdana" w:hAnsi="Times New Roman" w:cs="Times New Roman"/>
          <w:sz w:val="24"/>
          <w:szCs w:val="24"/>
          <w:lang w:eastAsia="bg-BG"/>
        </w:rPr>
        <w:t>П</w:t>
      </w:r>
      <w:r w:rsidRPr="00954C13">
        <w:rPr>
          <w:rFonts w:ascii="Times New Roman" w:eastAsia="Verdana" w:hAnsi="Times New Roman" w:cs="Times New Roman"/>
          <w:sz w:val="24"/>
          <w:szCs w:val="24"/>
          <w:lang w:eastAsia="bg-BG"/>
        </w:rPr>
        <w:t xml:space="preserve">осочените органи така или иначе ще бъдат уведомени от съответния оператор на електронна съобщителна мрежа </w:t>
      </w:r>
      <w:r w:rsidR="001B2DF8" w:rsidRPr="00954C13">
        <w:rPr>
          <w:rFonts w:ascii="Times New Roman" w:eastAsia="Verdana" w:hAnsi="Times New Roman" w:cs="Times New Roman"/>
          <w:sz w:val="24"/>
          <w:szCs w:val="24"/>
          <w:lang w:eastAsia="bg-BG"/>
        </w:rPr>
        <w:t xml:space="preserve">относно дейностите по чл. 151, ал. 1, т. 16 от ЗУТ </w:t>
      </w:r>
      <w:r w:rsidRPr="00954C13">
        <w:rPr>
          <w:rFonts w:ascii="Times New Roman" w:eastAsia="Verdana" w:hAnsi="Times New Roman" w:cs="Times New Roman"/>
          <w:sz w:val="24"/>
          <w:szCs w:val="24"/>
          <w:lang w:eastAsia="bg-BG"/>
        </w:rPr>
        <w:t xml:space="preserve">в изпълнение на </w:t>
      </w:r>
      <w:r w:rsidR="001B2DF8" w:rsidRPr="00954C13">
        <w:rPr>
          <w:rFonts w:ascii="Times New Roman" w:eastAsia="Verdana" w:hAnsi="Times New Roman" w:cs="Times New Roman"/>
          <w:sz w:val="24"/>
          <w:szCs w:val="24"/>
          <w:lang w:eastAsia="bg-BG"/>
        </w:rPr>
        <w:t>задължението на оператора</w:t>
      </w:r>
      <w:r w:rsidRPr="00954C13">
        <w:rPr>
          <w:rFonts w:ascii="Times New Roman" w:eastAsia="Verdana" w:hAnsi="Times New Roman" w:cs="Times New Roman"/>
          <w:sz w:val="24"/>
          <w:szCs w:val="24"/>
          <w:lang w:eastAsia="bg-BG"/>
        </w:rPr>
        <w:t xml:space="preserve"> по чл. 151, ал. 9 от ЗУТ (нова ал. 10).</w:t>
      </w:r>
    </w:p>
    <w:p w14:paraId="1547576D" w14:textId="66526C2F" w:rsidR="00E033DA" w:rsidRPr="00954C13"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954C13">
        <w:rPr>
          <w:rFonts w:ascii="Times New Roman" w:eastAsiaTheme="minorEastAsia" w:hAnsi="Times New Roman" w:cs="Times New Roman"/>
          <w:sz w:val="24"/>
          <w:szCs w:val="24"/>
          <w:lang w:eastAsia="bg-BG"/>
        </w:rPr>
        <w:t xml:space="preserve">Измененията относно </w:t>
      </w:r>
      <w:r w:rsidRPr="00954C13">
        <w:rPr>
          <w:rFonts w:ascii="Times New Roman" w:eastAsia="Verdana" w:hAnsi="Times New Roman" w:cs="Times New Roman"/>
          <w:sz w:val="24"/>
          <w:szCs w:val="24"/>
          <w:lang w:eastAsia="bg-BG"/>
        </w:rPr>
        <w:t xml:space="preserve">термина „проектно решение“ по чл. 151, ал. 4, т. 1 и 2 от ЗУТ, респ. законовото определение за него, </w:t>
      </w:r>
      <w:r w:rsidR="00474EC6" w:rsidRPr="00954C13">
        <w:rPr>
          <w:rFonts w:ascii="Times New Roman" w:eastAsia="Verdana" w:hAnsi="Times New Roman" w:cs="Times New Roman"/>
          <w:sz w:val="24"/>
          <w:szCs w:val="24"/>
          <w:lang w:eastAsia="bg-BG"/>
        </w:rPr>
        <w:t xml:space="preserve">което в момента е предложено, </w:t>
      </w:r>
      <w:r w:rsidRPr="00954C13">
        <w:rPr>
          <w:rFonts w:ascii="Times New Roman" w:eastAsia="Verdana" w:hAnsi="Times New Roman" w:cs="Times New Roman"/>
          <w:sz w:val="24"/>
          <w:szCs w:val="24"/>
          <w:lang w:eastAsia="bg-BG"/>
        </w:rPr>
        <w:t xml:space="preserve">са с цел прилагането му само за случаите по чл. 151, ал. 1, т. 19 – изграждане, основен ремонт и подмяна на инсталации за производство на електрическа енергия, топлинна енергия и/или енергия за охлаждане от възобновяеми източници към съществуващите еднофамилни жилищни и вилни сгради и в прилежащите им поземлени имоти, енергията от които ще се използва само за собствено потребление, ако общата им инсталирана мощност не надхвърля до 20 </w:t>
      </w:r>
      <w:proofErr w:type="spellStart"/>
      <w:r w:rsidRPr="00954C13">
        <w:rPr>
          <w:rFonts w:ascii="Times New Roman" w:eastAsia="Verdana" w:hAnsi="Times New Roman" w:cs="Times New Roman"/>
          <w:sz w:val="24"/>
          <w:szCs w:val="24"/>
          <w:lang w:eastAsia="bg-BG"/>
        </w:rPr>
        <w:t>kW</w:t>
      </w:r>
      <w:proofErr w:type="spellEnd"/>
      <w:r w:rsidRPr="00954C13">
        <w:rPr>
          <w:rFonts w:ascii="Times New Roman" w:eastAsia="Verdana" w:hAnsi="Times New Roman" w:cs="Times New Roman"/>
          <w:sz w:val="24"/>
          <w:szCs w:val="24"/>
          <w:lang w:eastAsia="bg-BG"/>
        </w:rPr>
        <w:t>.</w:t>
      </w:r>
    </w:p>
    <w:p w14:paraId="6CF19EC0" w14:textId="77777777" w:rsidR="00E033DA" w:rsidRPr="00954C13"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954C13">
        <w:rPr>
          <w:rFonts w:ascii="Times New Roman" w:eastAsia="Verdana" w:hAnsi="Times New Roman" w:cs="Times New Roman"/>
          <w:sz w:val="24"/>
          <w:szCs w:val="24"/>
          <w:lang w:eastAsia="bg-BG"/>
        </w:rPr>
        <w:t>По този начин двата режима (по чл. 151, ал. 1, т. 16 и по т. 19) ще бъдат легално диференцирани, като същевременно бъдат правилно отчитани качествените разлики между двете напълно различни категории дейности.</w:t>
      </w:r>
    </w:p>
    <w:p w14:paraId="0C6427C3" w14:textId="77777777" w:rsidR="00E033DA" w:rsidRPr="00954C13"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954C13">
        <w:rPr>
          <w:rFonts w:ascii="Times New Roman" w:eastAsia="Verdana" w:hAnsi="Times New Roman" w:cs="Times New Roman"/>
          <w:sz w:val="24"/>
          <w:szCs w:val="24"/>
          <w:lang w:eastAsia="bg-BG"/>
        </w:rPr>
        <w:t xml:space="preserve">Наред с това, т. нар. „облекчен“ режим за дейностите по поддръжка, </w:t>
      </w:r>
      <w:proofErr w:type="spellStart"/>
      <w:r w:rsidRPr="00954C13">
        <w:rPr>
          <w:rFonts w:ascii="Times New Roman" w:eastAsia="Verdana" w:hAnsi="Times New Roman" w:cs="Times New Roman"/>
          <w:sz w:val="24"/>
          <w:szCs w:val="24"/>
          <w:lang w:eastAsia="bg-BG"/>
        </w:rPr>
        <w:t>дооборудване</w:t>
      </w:r>
      <w:proofErr w:type="spellEnd"/>
      <w:r w:rsidRPr="00954C13">
        <w:rPr>
          <w:rFonts w:ascii="Times New Roman" w:eastAsia="Verdana" w:hAnsi="Times New Roman" w:cs="Times New Roman"/>
          <w:sz w:val="24"/>
          <w:szCs w:val="24"/>
          <w:lang w:eastAsia="bg-BG"/>
        </w:rPr>
        <w:t xml:space="preserve"> и/или подобряване на елементи на приемно-предавателни станции по чл. 151, ал. 1, т. 16 беше въведен от законодателя с нарочно изменение на ЗУТ през 2019 г. и с цел насърчаване разгръщането на електронни съобщителни мрежи от пето поколение (New </w:t>
      </w:r>
      <w:proofErr w:type="spellStart"/>
      <w:r w:rsidRPr="00954C13">
        <w:rPr>
          <w:rFonts w:ascii="Times New Roman" w:eastAsia="Verdana" w:hAnsi="Times New Roman" w:cs="Times New Roman"/>
          <w:sz w:val="24"/>
          <w:szCs w:val="24"/>
          <w:lang w:eastAsia="bg-BG"/>
        </w:rPr>
        <w:t>radio</w:t>
      </w:r>
      <w:proofErr w:type="spellEnd"/>
      <w:r w:rsidRPr="00954C13">
        <w:rPr>
          <w:rFonts w:ascii="Times New Roman" w:eastAsia="Verdana" w:hAnsi="Times New Roman" w:cs="Times New Roman"/>
          <w:sz w:val="24"/>
          <w:szCs w:val="24"/>
          <w:lang w:eastAsia="bg-BG"/>
        </w:rPr>
        <w:t xml:space="preserve">). Ефективното разгръщане на мрежи от пето поколение e на практика възможно </w:t>
      </w:r>
      <w:r w:rsidRPr="00954C13">
        <w:rPr>
          <w:rFonts w:ascii="Times New Roman" w:eastAsia="Verdana" w:hAnsi="Times New Roman" w:cs="Times New Roman"/>
          <w:sz w:val="24"/>
          <w:szCs w:val="24"/>
          <w:lang w:eastAsia="bg-BG"/>
        </w:rPr>
        <w:lastRenderedPageBreak/>
        <w:t>само след въвеждането на реално приложими законодателни режими, вкл. облекчени административни процедури за разполагане на елементи на 5G мрежи, вкл. отпадане на допълнителната административна тежест за операторите на електронни съобщителни мрежи за изготвянето и прилагането на проектни решения и за дейностите по чл. 151, ал. 1, т. 16 от ЗУТ.</w:t>
      </w:r>
    </w:p>
    <w:p w14:paraId="795608A0" w14:textId="77777777" w:rsidR="00E033DA" w:rsidRPr="00954C13"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954C13">
        <w:rPr>
          <w:rFonts w:ascii="Times New Roman" w:eastAsia="Verdana" w:hAnsi="Times New Roman" w:cs="Times New Roman"/>
          <w:sz w:val="24"/>
          <w:szCs w:val="24"/>
          <w:lang w:eastAsia="bg-BG"/>
        </w:rPr>
        <w:t>На последно място, следва да бъде подчертано, че въвеждането на режима по чл. 151, ал. 1, т. 16 от ЗУТ, вкл. на становищата на инженер-конструктор и на инженер с професионална квалификация в областта на съобщенията по чл. 151, ал. 4, т. 1 и 2 от закона, а не на квалифицираните проектни решения вместо последните, вече е официално представено пред Европейската комисия от Република България като реформа № 140 – „C7.R3: Създаване на благоприятна инвестиционна среда” от Националния план за възстановяване и устойчивост (влизане в сила на законодателни промени във връзка с П-18 „Цифрова свързаност”).</w:t>
      </w:r>
    </w:p>
    <w:p w14:paraId="7495E971" w14:textId="77777777" w:rsidR="00E033DA" w:rsidRPr="00954C13"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954C13">
        <w:rPr>
          <w:rFonts w:ascii="Times New Roman" w:eastAsia="Verdana" w:hAnsi="Times New Roman" w:cs="Times New Roman"/>
          <w:sz w:val="24"/>
          <w:szCs w:val="24"/>
          <w:lang w:eastAsia="bg-BG"/>
        </w:rPr>
        <w:t xml:space="preserve">Изискването за предварително предоставяне от КРС на документ, удостоверяващ одобрението на дейностите по чл. 151, ал. 1, т. 16 следва да отпадне, тъй като би могло да доведе до забавяне на практическото прилагане на процедурата по чл. 151, ал. 4-9 от ЗУТ. КРС като специализиран независим държавен орган, осъществяващ функциите по регулиране и контрол при осъществяването на електронните съобщения няма законови правомощия в строителния процес, съответно в процеса по извършване на дейностите по чл. 151, ал. 1, т. 16 от ЗУТ. Посочената законова разпоредба е именно в ЗУТ, а не в ЗЕС, </w:t>
      </w:r>
      <w:proofErr w:type="spellStart"/>
      <w:r w:rsidRPr="00954C13">
        <w:rPr>
          <w:rFonts w:ascii="Times New Roman" w:eastAsia="Verdana" w:hAnsi="Times New Roman" w:cs="Times New Roman"/>
          <w:sz w:val="24"/>
          <w:szCs w:val="24"/>
          <w:lang w:eastAsia="bg-BG"/>
        </w:rPr>
        <w:t>per</w:t>
      </w:r>
      <w:proofErr w:type="spellEnd"/>
      <w:r w:rsidRPr="00954C13">
        <w:rPr>
          <w:rFonts w:ascii="Times New Roman" w:eastAsia="Verdana" w:hAnsi="Times New Roman" w:cs="Times New Roman"/>
          <w:sz w:val="24"/>
          <w:szCs w:val="24"/>
          <w:lang w:eastAsia="bg-BG"/>
        </w:rPr>
        <w:t xml:space="preserve"> </w:t>
      </w:r>
      <w:proofErr w:type="spellStart"/>
      <w:r w:rsidRPr="00954C13">
        <w:rPr>
          <w:rFonts w:ascii="Times New Roman" w:eastAsia="Verdana" w:hAnsi="Times New Roman" w:cs="Times New Roman"/>
          <w:sz w:val="24"/>
          <w:szCs w:val="24"/>
          <w:lang w:eastAsia="bg-BG"/>
        </w:rPr>
        <w:t>se</w:t>
      </w:r>
      <w:proofErr w:type="spellEnd"/>
      <w:r w:rsidRPr="00954C13">
        <w:rPr>
          <w:rFonts w:ascii="Times New Roman" w:eastAsia="Verdana" w:hAnsi="Times New Roman" w:cs="Times New Roman"/>
          <w:sz w:val="24"/>
          <w:szCs w:val="24"/>
          <w:lang w:eastAsia="bg-BG"/>
        </w:rPr>
        <w:t xml:space="preserve"> касае строителния процес, а не предоставянето на електронни съобщителни мрежи и услуги, които Комисията като секторен орган регулира. От гледна точка на ЗЕС, съответно компетенциите на КРС, дейностите по поддръжка, </w:t>
      </w:r>
      <w:proofErr w:type="spellStart"/>
      <w:r w:rsidRPr="00954C13">
        <w:rPr>
          <w:rFonts w:ascii="Times New Roman" w:eastAsia="Verdana" w:hAnsi="Times New Roman" w:cs="Times New Roman"/>
          <w:sz w:val="24"/>
          <w:szCs w:val="24"/>
          <w:lang w:eastAsia="bg-BG"/>
        </w:rPr>
        <w:t>дооборудване</w:t>
      </w:r>
      <w:proofErr w:type="spellEnd"/>
      <w:r w:rsidRPr="00954C13">
        <w:rPr>
          <w:rFonts w:ascii="Times New Roman" w:eastAsia="Verdana" w:hAnsi="Times New Roman" w:cs="Times New Roman"/>
          <w:sz w:val="24"/>
          <w:szCs w:val="24"/>
          <w:lang w:eastAsia="bg-BG"/>
        </w:rPr>
        <w:t xml:space="preserve"> и/или подобряване на елементи на приемно-предавателни станции се извършват въз основа на вече издадени именно от КРС разрешения за ползване на честотен спектър и на вече регистрирани от страна на операторите в КРС мрежи/технологии.</w:t>
      </w:r>
    </w:p>
    <w:p w14:paraId="3629960D" w14:textId="77777777" w:rsidR="00E033DA" w:rsidRPr="00954C13"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954C13">
        <w:rPr>
          <w:rFonts w:ascii="Times New Roman" w:eastAsia="Verdana" w:hAnsi="Times New Roman" w:cs="Times New Roman"/>
          <w:sz w:val="24"/>
          <w:szCs w:val="24"/>
          <w:lang w:eastAsia="bg-BG"/>
        </w:rPr>
        <w:t xml:space="preserve">Същевременно КРС може да осъществява последващ контрол, тъй като операторите на електронни съобщителни мрежи регистрират посочените дейностите по поддръжка, </w:t>
      </w:r>
      <w:proofErr w:type="spellStart"/>
      <w:r w:rsidRPr="00954C13">
        <w:rPr>
          <w:rFonts w:ascii="Times New Roman" w:eastAsia="Verdana" w:hAnsi="Times New Roman" w:cs="Times New Roman"/>
          <w:sz w:val="24"/>
          <w:szCs w:val="24"/>
          <w:lang w:eastAsia="bg-BG"/>
        </w:rPr>
        <w:t>дооборудване</w:t>
      </w:r>
      <w:proofErr w:type="spellEnd"/>
      <w:r w:rsidRPr="00954C13">
        <w:rPr>
          <w:rFonts w:ascii="Times New Roman" w:eastAsia="Verdana" w:hAnsi="Times New Roman" w:cs="Times New Roman"/>
          <w:sz w:val="24"/>
          <w:szCs w:val="24"/>
          <w:lang w:eastAsia="bg-BG"/>
        </w:rPr>
        <w:t xml:space="preserve"> и/или подобряване на елементи на приемно-предавателни станции по чл. 151, ал. 1, т. 16 именно пред самата КРС. Нещо повече, посоченото законово задължение на мрежовите оператори е предвидено в две отделни законови разпоредби – не само ЗУТ (чл. 151, ал. 9 (нова ал. 10), но и в секторния ЗЕС (чл. 33, ал. 7).</w:t>
      </w:r>
    </w:p>
    <w:p w14:paraId="746E5041" w14:textId="642900AF" w:rsidR="00E033DA" w:rsidRPr="00954C13" w:rsidRDefault="00F60A85" w:rsidP="00F60A85">
      <w:pPr>
        <w:autoSpaceDE w:val="0"/>
        <w:autoSpaceDN w:val="0"/>
        <w:adjustRightInd w:val="0"/>
        <w:spacing w:after="120" w:line="240" w:lineRule="auto"/>
        <w:rPr>
          <w:rFonts w:ascii="Times New Roman" w:eastAsia="Verdana" w:hAnsi="Times New Roman" w:cs="Times New Roman"/>
          <w:sz w:val="24"/>
          <w:szCs w:val="24"/>
          <w:lang w:eastAsia="bg-BG"/>
        </w:rPr>
      </w:pPr>
      <w:r w:rsidRPr="00954C13">
        <w:rPr>
          <w:rFonts w:ascii="Times New Roman" w:eastAsia="Verdana" w:hAnsi="Times New Roman" w:cs="Times New Roman"/>
          <w:b/>
          <w:sz w:val="24"/>
          <w:szCs w:val="24"/>
          <w:lang w:eastAsia="bg-BG"/>
        </w:rPr>
        <w:t>Лице за контакт:</w:t>
      </w:r>
      <w:r w:rsidRPr="00954C13">
        <w:rPr>
          <w:rFonts w:ascii="Times New Roman" w:eastAsia="Verdana" w:hAnsi="Times New Roman" w:cs="Times New Roman"/>
          <w:sz w:val="24"/>
          <w:szCs w:val="24"/>
          <w:lang w:eastAsia="bg-BG"/>
        </w:rPr>
        <w:br/>
        <w:t>Цанка Цанкова</w:t>
      </w:r>
      <w:r w:rsidRPr="00954C13">
        <w:rPr>
          <w:rFonts w:ascii="Times New Roman" w:eastAsia="Verdana" w:hAnsi="Times New Roman" w:cs="Times New Roman"/>
          <w:sz w:val="24"/>
          <w:szCs w:val="24"/>
          <w:lang w:eastAsia="bg-BG"/>
        </w:rPr>
        <w:br/>
        <w:t>Главен експерт</w:t>
      </w:r>
      <w:r w:rsidRPr="00954C13">
        <w:rPr>
          <w:rFonts w:ascii="Times New Roman" w:eastAsia="Verdana" w:hAnsi="Times New Roman" w:cs="Times New Roman"/>
          <w:sz w:val="24"/>
          <w:szCs w:val="24"/>
          <w:lang w:eastAsia="bg-BG"/>
        </w:rPr>
        <w:br/>
        <w:t>Дирекция "Цифрова свързаност"</w:t>
      </w:r>
      <w:r w:rsidRPr="00954C13">
        <w:rPr>
          <w:rFonts w:ascii="Times New Roman" w:eastAsia="Verdana" w:hAnsi="Times New Roman" w:cs="Times New Roman"/>
          <w:sz w:val="24"/>
          <w:szCs w:val="24"/>
          <w:lang w:eastAsia="bg-BG"/>
        </w:rPr>
        <w:br/>
        <w:t>Министерство на транспорта и съобщенията</w:t>
      </w:r>
      <w:r w:rsidRPr="00954C13">
        <w:rPr>
          <w:rFonts w:ascii="Times New Roman" w:eastAsia="Verdana" w:hAnsi="Times New Roman" w:cs="Times New Roman"/>
          <w:sz w:val="24"/>
          <w:szCs w:val="24"/>
          <w:lang w:eastAsia="bg-BG"/>
        </w:rPr>
        <w:br/>
        <w:t>Тел.: 02/ 9409 281</w:t>
      </w:r>
      <w:r w:rsidRPr="00954C13">
        <w:rPr>
          <w:rFonts w:ascii="Times New Roman" w:eastAsia="Verdana" w:hAnsi="Times New Roman" w:cs="Times New Roman"/>
          <w:sz w:val="24"/>
          <w:szCs w:val="24"/>
          <w:lang w:eastAsia="bg-BG"/>
        </w:rPr>
        <w:br/>
        <w:t>Е-</w:t>
      </w:r>
      <w:proofErr w:type="spellStart"/>
      <w:r w:rsidRPr="00954C13">
        <w:rPr>
          <w:rFonts w:ascii="Times New Roman" w:eastAsia="Verdana" w:hAnsi="Times New Roman" w:cs="Times New Roman"/>
          <w:sz w:val="24"/>
          <w:szCs w:val="24"/>
          <w:lang w:eastAsia="bg-BG"/>
        </w:rPr>
        <w:t>mail</w:t>
      </w:r>
      <w:proofErr w:type="spellEnd"/>
      <w:r w:rsidRPr="00954C13">
        <w:rPr>
          <w:rFonts w:ascii="Times New Roman" w:eastAsia="Verdana" w:hAnsi="Times New Roman" w:cs="Times New Roman"/>
          <w:sz w:val="24"/>
          <w:szCs w:val="24"/>
          <w:lang w:eastAsia="bg-BG"/>
        </w:rPr>
        <w:t xml:space="preserve">: </w:t>
      </w:r>
      <w:hyperlink r:id="rId8" w:history="1">
        <w:r w:rsidRPr="00954C13">
          <w:rPr>
            <w:rStyle w:val="Hyperlink"/>
            <w:rFonts w:ascii="Times New Roman" w:eastAsia="Verdana" w:hAnsi="Times New Roman" w:cs="Times New Roman"/>
            <w:sz w:val="24"/>
            <w:szCs w:val="24"/>
            <w:lang w:eastAsia="bg-BG"/>
          </w:rPr>
          <w:t>tztzankova@mtc.government.bg</w:t>
        </w:r>
      </w:hyperlink>
    </w:p>
    <w:p w14:paraId="4709BE28" w14:textId="77777777" w:rsidR="000145F6" w:rsidRPr="00954C13" w:rsidRDefault="000145F6" w:rsidP="00474EC6">
      <w:pPr>
        <w:spacing w:after="120"/>
        <w:rPr>
          <w:rFonts w:ascii="Times New Roman" w:hAnsi="Times New Roman" w:cs="Times New Roman"/>
          <w:sz w:val="24"/>
          <w:szCs w:val="24"/>
        </w:rPr>
      </w:pPr>
    </w:p>
    <w:sectPr w:rsidR="000145F6" w:rsidRPr="00954C13">
      <w:headerReference w:type="even" r:id="rId9"/>
      <w:headerReference w:type="default" r:id="rId10"/>
      <w:headerReference w:type="first" r:id="rId11"/>
      <w:pgSz w:w="11906" w:h="16838"/>
      <w:pgMar w:top="1417" w:right="1417" w:bottom="1417" w:left="1417"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808027" w16cex:dateUtc="2023-08-11T06:38:00Z"/>
  <w16cex:commentExtensible w16cex:durableId="28808148" w16cex:dateUtc="2023-08-11T06:43:00Z"/>
  <w16cex:commentExtensible w16cex:durableId="288081DB" w16cex:dateUtc="2023-08-11T06:46:00Z"/>
  <w16cex:commentExtensible w16cex:durableId="28808255" w16cex:dateUtc="2023-08-11T0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E19D07" w16cid:durableId="28808027"/>
  <w16cid:commentId w16cid:paraId="0C67F506" w16cid:durableId="2880798B"/>
  <w16cid:commentId w16cid:paraId="0B2FB1A9" w16cid:durableId="2880798C"/>
  <w16cid:commentId w16cid:paraId="3204970D" w16cid:durableId="28808148"/>
  <w16cid:commentId w16cid:paraId="3FBF6900" w16cid:durableId="2880798D"/>
  <w16cid:commentId w16cid:paraId="2D2BFF37" w16cid:durableId="2880798E"/>
  <w16cid:commentId w16cid:paraId="2039FD2D" w16cid:durableId="288081DB"/>
  <w16cid:commentId w16cid:paraId="0BEAAF22" w16cid:durableId="2880798F"/>
  <w16cid:commentId w16cid:paraId="39FA4FB2" w16cid:durableId="28808255"/>
  <w16cid:commentId w16cid:paraId="454D7023" w16cid:durableId="2880799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1CB1D" w14:textId="77777777" w:rsidR="00526D88" w:rsidRDefault="00526D88" w:rsidP="00E033DA">
      <w:pPr>
        <w:spacing w:after="0" w:line="240" w:lineRule="auto"/>
      </w:pPr>
      <w:r>
        <w:separator/>
      </w:r>
    </w:p>
  </w:endnote>
  <w:endnote w:type="continuationSeparator" w:id="0">
    <w:p w14:paraId="44CD40EB" w14:textId="77777777" w:rsidR="00526D88" w:rsidRDefault="00526D88" w:rsidP="00E03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5E06C" w14:textId="77777777" w:rsidR="00526D88" w:rsidRDefault="00526D88" w:rsidP="00E033DA">
      <w:pPr>
        <w:spacing w:after="0" w:line="240" w:lineRule="auto"/>
      </w:pPr>
      <w:r>
        <w:separator/>
      </w:r>
    </w:p>
  </w:footnote>
  <w:footnote w:type="continuationSeparator" w:id="0">
    <w:p w14:paraId="56EE891B" w14:textId="77777777" w:rsidR="00526D88" w:rsidRDefault="00526D88" w:rsidP="00E03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4FAC8" w14:textId="425289B4" w:rsidR="00FA01A4" w:rsidRDefault="009B6781">
    <w:pPr>
      <w:pBdr>
        <w:top w:val="nil"/>
        <w:left w:val="nil"/>
        <w:bottom w:val="nil"/>
        <w:right w:val="nil"/>
        <w:between w:val="nil"/>
      </w:pBdr>
      <w:tabs>
        <w:tab w:val="center" w:pos="4536"/>
        <w:tab w:val="right" w:pos="9072"/>
      </w:tabs>
      <w:rPr>
        <w:rFonts w:eastAsia="Times New Roman"/>
        <w:color w:val="000000"/>
      </w:rPr>
    </w:pPr>
    <w:r>
      <w:rPr>
        <w:rFonts w:eastAsia="Times New Roman"/>
        <w:noProof/>
        <w:color w:val="000000"/>
        <w:lang w:eastAsia="bg-BG"/>
      </w:rPr>
      <mc:AlternateContent>
        <mc:Choice Requires="wps">
          <w:drawing>
            <wp:anchor distT="0" distB="0" distL="0" distR="0" simplePos="0" relativeHeight="251659264" behindDoc="0" locked="0" layoutInCell="1" allowOverlap="1" wp14:anchorId="737991C8" wp14:editId="7FF455D0">
              <wp:simplePos x="635" y="635"/>
              <wp:positionH relativeFrom="page">
                <wp:align>right</wp:align>
              </wp:positionH>
              <wp:positionV relativeFrom="page">
                <wp:align>top</wp:align>
              </wp:positionV>
              <wp:extent cx="443865" cy="443865"/>
              <wp:effectExtent l="0" t="0" r="0" b="4445"/>
              <wp:wrapNone/>
              <wp:docPr id="2" name="Text Box 2" descr="Open">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795B51" w14:textId="45B0FA48" w:rsidR="009B6781" w:rsidRPr="009B6781" w:rsidRDefault="009B6781" w:rsidP="009B6781">
                          <w:pPr>
                            <w:spacing w:after="0"/>
                            <w:rPr>
                              <w:rFonts w:ascii="Calibri" w:eastAsia="Calibri" w:hAnsi="Calibri" w:cs="Calibri"/>
                              <w:noProof/>
                              <w:color w:val="000000"/>
                              <w:sz w:val="20"/>
                              <w:szCs w:val="20"/>
                            </w:rPr>
                          </w:pPr>
                          <w:r w:rsidRPr="009B6781">
                            <w:rPr>
                              <w:rFonts w:ascii="Calibri" w:eastAsia="Calibri" w:hAnsi="Calibri" w:cs="Calibri"/>
                              <w:noProof/>
                              <w:color w:val="000000"/>
                              <w:sz w:val="20"/>
                              <w:szCs w:val="20"/>
                            </w:rPr>
                            <w:t>Open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37991C8" id="_x0000_t202" coordsize="21600,21600" o:spt="202" path="m,l,21600r21600,l21600,xe">
              <v:stroke joinstyle="miter"/>
              <v:path gradientshapeok="t" o:connecttype="rect"/>
            </v:shapetype>
            <v:shape id="Text Box 2" o:spid="_x0000_s1026" type="#_x0000_t202" alt="Open"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" filled="f" stroked="f">
              <v:textbox style="mso-fit-shape-to-text:t" inset="0,15pt,20pt,0">
                <w:txbxContent>
                  <w:p w14:paraId="37795B51" w14:textId="45B0FA48" w:rsidR="009B6781" w:rsidRPr="009B6781" w:rsidRDefault="009B6781" w:rsidP="009B6781">
                    <w:pPr>
                      <w:spacing w:after="0"/>
                      <w:rPr>
                        <w:rFonts w:ascii="Calibri" w:eastAsia="Calibri" w:hAnsi="Calibri" w:cs="Calibri"/>
                        <w:noProof/>
                        <w:color w:val="000000"/>
                        <w:sz w:val="20"/>
                        <w:szCs w:val="20"/>
                      </w:rPr>
                    </w:pPr>
                    <w:r w:rsidRPr="009B6781">
                      <w:rPr>
                        <w:rFonts w:ascii="Calibri" w:eastAsia="Calibri" w:hAnsi="Calibri" w:cs="Calibri"/>
                        <w:noProof/>
                        <w:color w:val="000000"/>
                        <w:sz w:val="20"/>
                        <w:szCs w:val="20"/>
                      </w:rPr>
                      <w:t>Open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4853D" w14:textId="4D496BB6" w:rsidR="009B6781" w:rsidRDefault="009B6781">
    <w:pPr>
      <w:pStyle w:val="Header"/>
    </w:pPr>
    <w:r>
      <w:rPr>
        <w:noProof/>
        <w:lang w:eastAsia="bg-BG"/>
      </w:rPr>
      <mc:AlternateContent>
        <mc:Choice Requires="wps">
          <w:drawing>
            <wp:anchor distT="0" distB="0" distL="0" distR="0" simplePos="0" relativeHeight="251660288" behindDoc="0" locked="0" layoutInCell="1" allowOverlap="1" wp14:anchorId="14B5FFC9" wp14:editId="4FF83F64">
              <wp:simplePos x="901700" y="447675"/>
              <wp:positionH relativeFrom="page">
                <wp:align>right</wp:align>
              </wp:positionH>
              <wp:positionV relativeFrom="page">
                <wp:align>top</wp:align>
              </wp:positionV>
              <wp:extent cx="443865" cy="443865"/>
              <wp:effectExtent l="0" t="0" r="0" b="4445"/>
              <wp:wrapNone/>
              <wp:docPr id="3" name="Text Box 3" descr="Open">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21109E" w14:textId="3D1ADBA1" w:rsidR="009B6781" w:rsidRPr="009B6781" w:rsidRDefault="009B6781" w:rsidP="009B6781">
                          <w:pPr>
                            <w:spacing w:after="0"/>
                            <w:rPr>
                              <w:rFonts w:ascii="Calibri" w:eastAsia="Calibri" w:hAnsi="Calibri" w:cs="Calibri"/>
                              <w:noProof/>
                              <w:color w:val="000000"/>
                              <w:sz w:val="20"/>
                              <w:szCs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4B5FFC9" id="_x0000_t202" coordsize="21600,21600" o:spt="202" path="m,l,21600r21600,l21600,xe">
              <v:stroke joinstyle="miter"/>
              <v:path gradientshapeok="t" o:connecttype="rect"/>
            </v:shapetype>
            <v:shape id="Text Box 3" o:spid="_x0000_s1027" type="#_x0000_t202" alt="Open"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" filled="f" stroked="f">
              <v:textbox style="mso-fit-shape-to-text:t" inset="0,15pt,20pt,0">
                <w:txbxContent>
                  <w:p w14:paraId="3121109E" w14:textId="3D1ADBA1" w:rsidR="009B6781" w:rsidRPr="009B6781" w:rsidRDefault="009B6781" w:rsidP="009B6781">
                    <w:pPr>
                      <w:spacing w:after="0"/>
                      <w:rPr>
                        <w:rFonts w:ascii="Calibri" w:eastAsia="Calibri" w:hAnsi="Calibri" w:cs="Calibri"/>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4AE20" w14:textId="52511F72" w:rsidR="00FA01A4" w:rsidRDefault="009B6781">
    <w:pPr>
      <w:pBdr>
        <w:top w:val="nil"/>
        <w:left w:val="nil"/>
        <w:bottom w:val="nil"/>
        <w:right w:val="nil"/>
        <w:between w:val="nil"/>
      </w:pBdr>
      <w:tabs>
        <w:tab w:val="center" w:pos="4536"/>
        <w:tab w:val="right" w:pos="9072"/>
      </w:tabs>
      <w:rPr>
        <w:rFonts w:eastAsia="Times New Roman"/>
        <w:color w:val="000000"/>
      </w:rPr>
    </w:pPr>
    <w:r>
      <w:rPr>
        <w:rFonts w:eastAsia="Times New Roman"/>
        <w:noProof/>
        <w:color w:val="000000"/>
        <w:lang w:eastAsia="bg-BG"/>
      </w:rPr>
      <mc:AlternateContent>
        <mc:Choice Requires="wps">
          <w:drawing>
            <wp:anchor distT="0" distB="0" distL="0" distR="0" simplePos="0" relativeHeight="251658240" behindDoc="0" locked="0" layoutInCell="1" allowOverlap="1" wp14:anchorId="0D303B53" wp14:editId="6099839B">
              <wp:simplePos x="635" y="635"/>
              <wp:positionH relativeFrom="page">
                <wp:align>right</wp:align>
              </wp:positionH>
              <wp:positionV relativeFrom="page">
                <wp:align>top</wp:align>
              </wp:positionV>
              <wp:extent cx="443865" cy="443865"/>
              <wp:effectExtent l="0" t="0" r="0" b="4445"/>
              <wp:wrapNone/>
              <wp:docPr id="1" name="Text Box 1" descr="Open">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05E768" w14:textId="6B8B4869" w:rsidR="009B6781" w:rsidRPr="009B6781" w:rsidRDefault="009B6781" w:rsidP="009B6781">
                          <w:pPr>
                            <w:spacing w:after="0"/>
                            <w:rPr>
                              <w:rFonts w:ascii="Calibri" w:eastAsia="Calibri" w:hAnsi="Calibri" w:cs="Calibri"/>
                              <w:noProof/>
                              <w:color w:val="000000"/>
                              <w:sz w:val="20"/>
                              <w:szCs w:val="20"/>
                            </w:rPr>
                          </w:pPr>
                          <w:r w:rsidRPr="009B6781">
                            <w:rPr>
                              <w:rFonts w:ascii="Calibri" w:eastAsia="Calibri" w:hAnsi="Calibri" w:cs="Calibri"/>
                              <w:noProof/>
                              <w:color w:val="000000"/>
                              <w:sz w:val="20"/>
                              <w:szCs w:val="20"/>
                            </w:rPr>
                            <w:t>Open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D303B53" id="_x0000_t202" coordsize="21600,21600" o:spt="202" path="m,l,21600r21600,l21600,xe">
              <v:stroke joinstyle="miter"/>
              <v:path gradientshapeok="t" o:connecttype="rect"/>
            </v:shapetype>
            <v:shape id="Text Box 1" o:spid="_x0000_s1028" type="#_x0000_t202" alt="Open"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" filled="f" stroked="f">
              <v:textbox style="mso-fit-shape-to-text:t" inset="0,15pt,20pt,0">
                <w:txbxContent>
                  <w:p w14:paraId="4605E768" w14:textId="6B8B4869" w:rsidR="009B6781" w:rsidRPr="009B6781" w:rsidRDefault="009B6781" w:rsidP="009B6781">
                    <w:pPr>
                      <w:spacing w:after="0"/>
                      <w:rPr>
                        <w:rFonts w:ascii="Calibri" w:eastAsia="Calibri" w:hAnsi="Calibri" w:cs="Calibri"/>
                        <w:noProof/>
                        <w:color w:val="000000"/>
                        <w:sz w:val="20"/>
                        <w:szCs w:val="20"/>
                      </w:rPr>
                    </w:pPr>
                    <w:r w:rsidRPr="009B6781">
                      <w:rPr>
                        <w:rFonts w:ascii="Calibri" w:eastAsia="Calibri" w:hAnsi="Calibri" w:cs="Calibri"/>
                        <w:noProof/>
                        <w:color w:val="000000"/>
                        <w:sz w:val="20"/>
                        <w:szCs w:val="20"/>
                      </w:rPr>
                      <w:t>Open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B120E"/>
    <w:multiLevelType w:val="multilevel"/>
    <w:tmpl w:val="931C35D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EF335C6"/>
    <w:multiLevelType w:val="multilevel"/>
    <w:tmpl w:val="769CD016"/>
    <w:lvl w:ilvl="0">
      <w:start w:val="1"/>
      <w:numFmt w:val="decimal"/>
      <w:lvlText w:val="%1."/>
      <w:lvlJc w:val="left"/>
      <w:pPr>
        <w:ind w:left="0" w:hanging="360"/>
      </w:pPr>
      <w:rPr>
        <w:b/>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19A03ECF"/>
    <w:multiLevelType w:val="multilevel"/>
    <w:tmpl w:val="9B1ADE90"/>
    <w:lvl w:ilvl="0">
      <w:start w:val="1"/>
      <w:numFmt w:val="decimal"/>
      <w:lvlText w:val="%1."/>
      <w:lvlJc w:val="left"/>
      <w:pPr>
        <w:ind w:left="1070" w:hanging="71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DD3774"/>
    <w:multiLevelType w:val="hybridMultilevel"/>
    <w:tmpl w:val="6C36BBB0"/>
    <w:lvl w:ilvl="0" w:tplc="CFCEC1E6">
      <w:start w:val="1"/>
      <w:numFmt w:val="decimal"/>
      <w:lvlText w:val="%1."/>
      <w:lvlJc w:val="left"/>
      <w:pPr>
        <w:ind w:left="1068" w:hanging="360"/>
      </w:pPr>
      <w:rPr>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34F83D7A"/>
    <w:multiLevelType w:val="multilevel"/>
    <w:tmpl w:val="7746491A"/>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370337E4"/>
    <w:multiLevelType w:val="multilevel"/>
    <w:tmpl w:val="9B1ADE90"/>
    <w:lvl w:ilvl="0">
      <w:start w:val="1"/>
      <w:numFmt w:val="decimal"/>
      <w:lvlText w:val="%1."/>
      <w:lvlJc w:val="left"/>
      <w:pPr>
        <w:ind w:left="1070" w:hanging="71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A5F0E15"/>
    <w:multiLevelType w:val="multilevel"/>
    <w:tmpl w:val="DA44E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A6132A"/>
    <w:multiLevelType w:val="multilevel"/>
    <w:tmpl w:val="D470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7E7FD0"/>
    <w:multiLevelType w:val="multilevel"/>
    <w:tmpl w:val="4A5E903A"/>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545F0F5F"/>
    <w:multiLevelType w:val="multilevel"/>
    <w:tmpl w:val="EA80DE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DB07C40"/>
    <w:multiLevelType w:val="multilevel"/>
    <w:tmpl w:val="04A4541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68B123E2"/>
    <w:multiLevelType w:val="multilevel"/>
    <w:tmpl w:val="BA829190"/>
    <w:lvl w:ilvl="0">
      <w:start w:val="1"/>
      <w:numFmt w:val="decimal"/>
      <w:lvlText w:val="%1."/>
      <w:lvlJc w:val="left"/>
      <w:pPr>
        <w:ind w:left="1069" w:hanging="36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7CA76383"/>
    <w:multiLevelType w:val="multilevel"/>
    <w:tmpl w:val="B6AA25C4"/>
    <w:lvl w:ilvl="0">
      <w:start w:val="1"/>
      <w:numFmt w:val="decimal"/>
      <w:lvlText w:val="%1."/>
      <w:lvlJc w:val="left"/>
      <w:pPr>
        <w:ind w:left="1069" w:hanging="36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8"/>
  </w:num>
  <w:num w:numId="3">
    <w:abstractNumId w:val="9"/>
  </w:num>
  <w:num w:numId="4">
    <w:abstractNumId w:val="4"/>
  </w:num>
  <w:num w:numId="5">
    <w:abstractNumId w:val="12"/>
  </w:num>
  <w:num w:numId="6">
    <w:abstractNumId w:val="0"/>
  </w:num>
  <w:num w:numId="7">
    <w:abstractNumId w:val="2"/>
  </w:num>
  <w:num w:numId="8">
    <w:abstractNumId w:val="11"/>
  </w:num>
  <w:num w:numId="9">
    <w:abstractNumId w:val="10"/>
  </w:num>
  <w:num w:numId="10">
    <w:abstractNumId w:val="5"/>
  </w:num>
  <w:num w:numId="11">
    <w:abstractNumId w:val="3"/>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3DA"/>
    <w:rsid w:val="00000DC1"/>
    <w:rsid w:val="000145F6"/>
    <w:rsid w:val="000413D3"/>
    <w:rsid w:val="000D0313"/>
    <w:rsid w:val="000D1892"/>
    <w:rsid w:val="00132DEB"/>
    <w:rsid w:val="001B178D"/>
    <w:rsid w:val="001B2994"/>
    <w:rsid w:val="001B2DF8"/>
    <w:rsid w:val="002C73DF"/>
    <w:rsid w:val="002E6EFF"/>
    <w:rsid w:val="00371C45"/>
    <w:rsid w:val="003877F1"/>
    <w:rsid w:val="00474EC6"/>
    <w:rsid w:val="004D05A9"/>
    <w:rsid w:val="00526D88"/>
    <w:rsid w:val="0054348C"/>
    <w:rsid w:val="00560A9A"/>
    <w:rsid w:val="00592299"/>
    <w:rsid w:val="005A7E5F"/>
    <w:rsid w:val="00677BCF"/>
    <w:rsid w:val="006865E0"/>
    <w:rsid w:val="006F085D"/>
    <w:rsid w:val="00712D36"/>
    <w:rsid w:val="007278A5"/>
    <w:rsid w:val="007430BC"/>
    <w:rsid w:val="007B1CA6"/>
    <w:rsid w:val="007B6690"/>
    <w:rsid w:val="00875361"/>
    <w:rsid w:val="008A414B"/>
    <w:rsid w:val="008D156A"/>
    <w:rsid w:val="008F1CB2"/>
    <w:rsid w:val="009119C3"/>
    <w:rsid w:val="00954C13"/>
    <w:rsid w:val="00975D32"/>
    <w:rsid w:val="009B6781"/>
    <w:rsid w:val="00A7729A"/>
    <w:rsid w:val="00AC5F0A"/>
    <w:rsid w:val="00B01058"/>
    <w:rsid w:val="00B4695F"/>
    <w:rsid w:val="00BA71FE"/>
    <w:rsid w:val="00C561FC"/>
    <w:rsid w:val="00C62D14"/>
    <w:rsid w:val="00C750B9"/>
    <w:rsid w:val="00C868E1"/>
    <w:rsid w:val="00C97C3D"/>
    <w:rsid w:val="00C97E72"/>
    <w:rsid w:val="00CA740A"/>
    <w:rsid w:val="00CD1C4D"/>
    <w:rsid w:val="00CE6F25"/>
    <w:rsid w:val="00D53E6F"/>
    <w:rsid w:val="00E033DA"/>
    <w:rsid w:val="00E12648"/>
    <w:rsid w:val="00E423AB"/>
    <w:rsid w:val="00E53344"/>
    <w:rsid w:val="00EB588C"/>
    <w:rsid w:val="00F260DD"/>
    <w:rsid w:val="00F26331"/>
    <w:rsid w:val="00F40A3B"/>
    <w:rsid w:val="00F505FA"/>
    <w:rsid w:val="00F60A85"/>
    <w:rsid w:val="00F72157"/>
    <w:rsid w:val="00F75AC3"/>
    <w:rsid w:val="00FA01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60CEA"/>
  <w15:chartTrackingRefBased/>
  <w15:docId w15:val="{8ACC2A1C-BB4C-4DF9-A248-5168461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33DA"/>
    <w:rPr>
      <w:rFonts w:cs="Times New Roman"/>
      <w:sz w:val="16"/>
      <w:szCs w:val="16"/>
    </w:rPr>
  </w:style>
  <w:style w:type="paragraph" w:styleId="CommentText">
    <w:name w:val="annotation text"/>
    <w:basedOn w:val="Normal"/>
    <w:link w:val="CommentTextChar"/>
    <w:uiPriority w:val="99"/>
    <w:unhideWhenUsed/>
    <w:rsid w:val="00E033DA"/>
    <w:pPr>
      <w:widowControl w:val="0"/>
      <w:autoSpaceDE w:val="0"/>
      <w:autoSpaceDN w:val="0"/>
      <w:adjustRightInd w:val="0"/>
      <w:spacing w:after="0" w:line="240" w:lineRule="auto"/>
    </w:pPr>
    <w:rPr>
      <w:rFonts w:ascii="Times New Roman" w:eastAsiaTheme="minorEastAsia" w:hAnsi="Times New Roman" w:cs="Times New Roman"/>
      <w:sz w:val="20"/>
      <w:szCs w:val="20"/>
      <w:lang w:val="bg" w:eastAsia="bg-BG"/>
    </w:rPr>
  </w:style>
  <w:style w:type="character" w:customStyle="1" w:styleId="CommentTextChar">
    <w:name w:val="Comment Text Char"/>
    <w:basedOn w:val="DefaultParagraphFont"/>
    <w:link w:val="CommentText"/>
    <w:uiPriority w:val="99"/>
    <w:rsid w:val="00E033DA"/>
    <w:rPr>
      <w:rFonts w:ascii="Times New Roman" w:eastAsiaTheme="minorEastAsia" w:hAnsi="Times New Roman" w:cs="Times New Roman"/>
      <w:sz w:val="20"/>
      <w:szCs w:val="20"/>
      <w:lang w:val="bg" w:eastAsia="bg-BG"/>
    </w:rPr>
  </w:style>
  <w:style w:type="character" w:styleId="FootnoteReference">
    <w:name w:val="footnote reference"/>
    <w:basedOn w:val="DefaultParagraphFont"/>
    <w:uiPriority w:val="99"/>
    <w:semiHidden/>
    <w:unhideWhenUsed/>
    <w:rsid w:val="00E033DA"/>
    <w:rPr>
      <w:vertAlign w:val="superscript"/>
    </w:rPr>
  </w:style>
  <w:style w:type="paragraph" w:styleId="BalloonText">
    <w:name w:val="Balloon Text"/>
    <w:basedOn w:val="Normal"/>
    <w:link w:val="BalloonTextChar"/>
    <w:uiPriority w:val="99"/>
    <w:semiHidden/>
    <w:unhideWhenUsed/>
    <w:rsid w:val="00E033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3D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A740A"/>
    <w:pPr>
      <w:widowControl/>
      <w:autoSpaceDE/>
      <w:autoSpaceDN/>
      <w:adjustRightInd/>
      <w:spacing w:after="160"/>
    </w:pPr>
    <w:rPr>
      <w:rFonts w:asciiTheme="minorHAnsi" w:eastAsiaTheme="minorHAnsi" w:hAnsiTheme="minorHAnsi" w:cstheme="minorBidi"/>
      <w:b/>
      <w:bCs/>
      <w:lang w:val="bg-BG" w:eastAsia="en-US"/>
    </w:rPr>
  </w:style>
  <w:style w:type="character" w:customStyle="1" w:styleId="CommentSubjectChar">
    <w:name w:val="Comment Subject Char"/>
    <w:basedOn w:val="CommentTextChar"/>
    <w:link w:val="CommentSubject"/>
    <w:uiPriority w:val="99"/>
    <w:semiHidden/>
    <w:rsid w:val="00CA740A"/>
    <w:rPr>
      <w:rFonts w:ascii="Times New Roman" w:eastAsiaTheme="minorEastAsia" w:hAnsi="Times New Roman" w:cs="Times New Roman"/>
      <w:b/>
      <w:bCs/>
      <w:sz w:val="20"/>
      <w:szCs w:val="20"/>
      <w:lang w:val="bg" w:eastAsia="bg-BG"/>
    </w:rPr>
  </w:style>
  <w:style w:type="paragraph" w:styleId="ListParagraph">
    <w:name w:val="List Paragraph"/>
    <w:basedOn w:val="Normal"/>
    <w:uiPriority w:val="34"/>
    <w:qFormat/>
    <w:rsid w:val="00000DC1"/>
    <w:pPr>
      <w:ind w:left="720"/>
      <w:contextualSpacing/>
    </w:pPr>
  </w:style>
  <w:style w:type="paragraph" w:styleId="Revision">
    <w:name w:val="Revision"/>
    <w:hidden/>
    <w:uiPriority w:val="99"/>
    <w:semiHidden/>
    <w:rsid w:val="009B6781"/>
    <w:pPr>
      <w:spacing w:after="0" w:line="240" w:lineRule="auto"/>
    </w:pPr>
  </w:style>
  <w:style w:type="paragraph" w:styleId="Header">
    <w:name w:val="header"/>
    <w:basedOn w:val="Normal"/>
    <w:link w:val="HeaderChar"/>
    <w:uiPriority w:val="99"/>
    <w:unhideWhenUsed/>
    <w:rsid w:val="009B678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6781"/>
  </w:style>
  <w:style w:type="character" w:styleId="Hyperlink">
    <w:name w:val="Hyperlink"/>
    <w:basedOn w:val="DefaultParagraphFont"/>
    <w:uiPriority w:val="99"/>
    <w:unhideWhenUsed/>
    <w:rsid w:val="009B6781"/>
    <w:rPr>
      <w:color w:val="0000FF"/>
      <w:u w:val="single"/>
    </w:rPr>
  </w:style>
  <w:style w:type="character" w:customStyle="1" w:styleId="alcapt">
    <w:name w:val="al_capt"/>
    <w:basedOn w:val="DefaultParagraphFont"/>
    <w:rsid w:val="00F40A3B"/>
  </w:style>
  <w:style w:type="character" w:customStyle="1" w:styleId="cnglog">
    <w:name w:val="cnglog"/>
    <w:basedOn w:val="DefaultParagraphFont"/>
    <w:rsid w:val="00F40A3B"/>
  </w:style>
  <w:style w:type="character" w:customStyle="1" w:styleId="articlehistory">
    <w:name w:val="article_history"/>
    <w:basedOn w:val="DefaultParagraphFont"/>
    <w:rsid w:val="00F40A3B"/>
  </w:style>
  <w:style w:type="character" w:customStyle="1" w:styleId="parcapt">
    <w:name w:val="par_capt"/>
    <w:basedOn w:val="DefaultParagraphFont"/>
    <w:rsid w:val="00560A9A"/>
  </w:style>
  <w:style w:type="character" w:customStyle="1" w:styleId="alt">
    <w:name w:val="al_t"/>
    <w:basedOn w:val="DefaultParagraphFont"/>
    <w:rsid w:val="00560A9A"/>
  </w:style>
  <w:style w:type="character" w:customStyle="1" w:styleId="subpardislink">
    <w:name w:val="subpardislink"/>
    <w:basedOn w:val="DefaultParagraphFont"/>
    <w:rsid w:val="00560A9A"/>
  </w:style>
  <w:style w:type="paragraph" w:styleId="Footer">
    <w:name w:val="footer"/>
    <w:basedOn w:val="Normal"/>
    <w:link w:val="FooterChar"/>
    <w:uiPriority w:val="99"/>
    <w:unhideWhenUsed/>
    <w:rsid w:val="00474EC6"/>
    <w:pPr>
      <w:tabs>
        <w:tab w:val="center" w:pos="4703"/>
        <w:tab w:val="right" w:pos="9406"/>
      </w:tabs>
      <w:spacing w:after="0" w:line="240" w:lineRule="auto"/>
    </w:pPr>
  </w:style>
  <w:style w:type="character" w:customStyle="1" w:styleId="FooterChar">
    <w:name w:val="Footer Char"/>
    <w:basedOn w:val="DefaultParagraphFont"/>
    <w:link w:val="Footer"/>
    <w:uiPriority w:val="99"/>
    <w:rsid w:val="00474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ztzankova@mtc.government.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DEAEA-4723-4713-8994-301F8AEE6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1965</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MTITC</Company>
  <LinksUpToDate>false</LinksUpToDate>
  <CharactersWithSpaces>13140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Nikolova</dc:creator>
  <cp:keywords/>
  <dc:description/>
  <cp:lastModifiedBy>Kostadin Vardev</cp:lastModifiedBy>
  <cp:revision>4</cp:revision>
  <cp:lastPrinted>2023-08-10T10:47:00Z</cp:lastPrinted>
  <dcterms:created xsi:type="dcterms:W3CDTF">2024-02-09T11:47:00Z</dcterms:created>
  <dcterms:modified xsi:type="dcterms:W3CDTF">2024-02-09T12:00:00Z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Open</vt:lpwstr>
  </property>
  <property fmtid="{D5CDD505-2E9C-101B-9397-08002B2CF9AE}" pid="5" name="MSIP_Label_d0167c36-b4d5-4e4e-bd61-39632ce73ec8_Enabled">
    <vt:lpwstr>true</vt:lpwstr>
  </property>
  <property fmtid="{D5CDD505-2E9C-101B-9397-08002B2CF9AE}" pid="6" name="MSIP_Label_d0167c36-b4d5-4e4e-bd61-39632ce73ec8_SetDate">
    <vt:lpwstr>2023-08-11T06:10:51Z</vt:lpwstr>
  </property>
  <property fmtid="{D5CDD505-2E9C-101B-9397-08002B2CF9AE}" pid="7" name="MSIP_Label_d0167c36-b4d5-4e4e-bd61-39632ce73ec8_Method">
    <vt:lpwstr>Privileged</vt:lpwstr>
  </property>
  <property fmtid="{D5CDD505-2E9C-101B-9397-08002B2CF9AE}" pid="8" name="MSIP_Label_d0167c36-b4d5-4e4e-bd61-39632ce73ec8_Name">
    <vt:lpwstr>Open</vt:lpwstr>
  </property>
  <property fmtid="{D5CDD505-2E9C-101B-9397-08002B2CF9AE}" pid="9" name="MSIP_Label_d0167c36-b4d5-4e4e-bd61-39632ce73ec8_SiteId">
    <vt:lpwstr>169bbd4f-4054-49cd-a5c7-0244ab23e3a8</vt:lpwstr>
  </property>
  <property fmtid="{D5CDD505-2E9C-101B-9397-08002B2CF9AE}" pid="10" name="MSIP_Label_d0167c36-b4d5-4e4e-bd61-39632ce73ec8_ActionId">
    <vt:lpwstr>f0b0d0b1-ce63-4ec7-9565-75f310a0fbbd</vt:lpwstr>
  </property>
  <property fmtid="{D5CDD505-2E9C-101B-9397-08002B2CF9AE}" pid="11" name="MSIP_Label_d0167c36-b4d5-4e4e-bd61-39632ce73ec8_ContentBits">
    <vt:lpwstr>1</vt:lpwstr>
  </property>
</Properties>
</file>