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50" w:type="dxa"/>
        <w:tblInd w:w="-372" w:type="dxa"/>
        <w:tblBorders>
          <w:top w:val="single" w:sz="36" w:space="0" w:color="2E74B5"/>
          <w:left w:val="single" w:sz="36" w:space="0" w:color="2E74B5"/>
          <w:bottom w:val="single" w:sz="36" w:space="0" w:color="2E74B5"/>
          <w:right w:val="single" w:sz="36" w:space="0" w:color="2E74B5"/>
          <w:insideH w:val="single" w:sz="36" w:space="0" w:color="2E74B5"/>
          <w:insideV w:val="single" w:sz="36" w:space="0" w:color="2E74B5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976"/>
        <w:gridCol w:w="5671"/>
        <w:gridCol w:w="2693"/>
        <w:gridCol w:w="3688"/>
      </w:tblGrid>
      <w:tr w:rsidR="00635A8B" w:rsidRPr="00A00242" w:rsidTr="003C07C9">
        <w:trPr>
          <w:trHeight w:val="958"/>
        </w:trPr>
        <w:tc>
          <w:tcPr>
            <w:tcW w:w="15650" w:type="dxa"/>
            <w:gridSpan w:val="5"/>
            <w:tcBorders>
              <w:bottom w:val="single" w:sz="36" w:space="0" w:color="2E74B5"/>
            </w:tcBorders>
            <w:shd w:val="clear" w:color="auto" w:fill="BDD6EE"/>
          </w:tcPr>
          <w:p w:rsidR="00635A8B" w:rsidRPr="00692C64" w:rsidRDefault="00635A8B" w:rsidP="003C07C9">
            <w:pPr>
              <w:tabs>
                <w:tab w:val="left" w:pos="2190"/>
              </w:tabs>
              <w:jc w:val="center"/>
              <w:rPr>
                <w:b/>
                <w:sz w:val="22"/>
                <w:szCs w:val="22"/>
              </w:rPr>
            </w:pPr>
            <w:r w:rsidRPr="00692C64">
              <w:rPr>
                <w:b/>
                <w:sz w:val="22"/>
                <w:szCs w:val="22"/>
              </w:rPr>
              <w:t>СПРАВКА</w:t>
            </w:r>
          </w:p>
          <w:p w:rsidR="00635A8B" w:rsidRPr="00A00242" w:rsidRDefault="00635A8B" w:rsidP="003C07C9">
            <w:pPr>
              <w:tabs>
                <w:tab w:val="left" w:pos="2190"/>
              </w:tabs>
              <w:jc w:val="center"/>
              <w:rPr>
                <w:b/>
                <w:sz w:val="23"/>
                <w:szCs w:val="23"/>
              </w:rPr>
            </w:pPr>
            <w:r w:rsidRPr="00692C64">
              <w:rPr>
                <w:b/>
                <w:sz w:val="22"/>
                <w:szCs w:val="22"/>
              </w:rPr>
              <w:t>ЗА ОТРАЗЯВАНЕ НА ПОСТЪПИЛИТЕ ПРЕДЛОЖЕНИЯ И СТАНОВИЩА ОТ ОБЩЕСТВЕНИТЕ КОНСУЛТАЦИИ ПО ПРОЕКТ НА РЕШЕНИЕ НА МИНИСТЕРСКИЯ СЪВЕТ ЗА ОДОБРЯВАНЕ НА ПРОЕКТ НА ЗАКОН ЗА ИЗМЕНЕНИЕ НА ЗАКОНА ЗА ДЪРЖАВНИЯ ПЕЧАТ И НАЦИОНАЛНОТО ЗНАМЕ НА РЕПУБЛИКА БЪЛГАРИЯ</w:t>
            </w:r>
          </w:p>
        </w:tc>
      </w:tr>
      <w:tr w:rsidR="00635A8B" w:rsidRPr="00A00242" w:rsidTr="003C07C9">
        <w:trPr>
          <w:trHeight w:val="565"/>
        </w:trPr>
        <w:tc>
          <w:tcPr>
            <w:tcW w:w="622" w:type="dxa"/>
            <w:tcBorders>
              <w:top w:val="single" w:sz="36" w:space="0" w:color="2E74B5"/>
              <w:left w:val="single" w:sz="36" w:space="0" w:color="2E74B5"/>
              <w:right w:val="single" w:sz="18" w:space="0" w:color="2E74B5"/>
            </w:tcBorders>
            <w:shd w:val="clear" w:color="auto" w:fill="DEEAF6"/>
            <w:vAlign w:val="center"/>
          </w:tcPr>
          <w:p w:rsidR="00635A8B" w:rsidRPr="00A00242" w:rsidRDefault="00635A8B" w:rsidP="003C07C9">
            <w:pPr>
              <w:tabs>
                <w:tab w:val="left" w:pos="192"/>
              </w:tabs>
              <w:jc w:val="center"/>
              <w:rPr>
                <w:b/>
                <w:sz w:val="23"/>
                <w:szCs w:val="23"/>
              </w:rPr>
            </w:pPr>
            <w:r w:rsidRPr="00A00242">
              <w:rPr>
                <w:b/>
                <w:sz w:val="23"/>
                <w:szCs w:val="23"/>
              </w:rPr>
              <w:t>№</w:t>
            </w:r>
          </w:p>
        </w:tc>
        <w:tc>
          <w:tcPr>
            <w:tcW w:w="2976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  <w:shd w:val="clear" w:color="auto" w:fill="DEEAF6"/>
            <w:vAlign w:val="center"/>
          </w:tcPr>
          <w:p w:rsidR="00635A8B" w:rsidRPr="00A00242" w:rsidRDefault="00635A8B" w:rsidP="003C07C9">
            <w:pPr>
              <w:jc w:val="center"/>
              <w:rPr>
                <w:b/>
                <w:sz w:val="23"/>
                <w:szCs w:val="23"/>
              </w:rPr>
            </w:pPr>
            <w:r w:rsidRPr="00A00242">
              <w:rPr>
                <w:b/>
                <w:sz w:val="23"/>
                <w:szCs w:val="23"/>
              </w:rPr>
              <w:t>Организация/потребител</w:t>
            </w:r>
          </w:p>
          <w:p w:rsidR="00635A8B" w:rsidRPr="00A00242" w:rsidRDefault="00635A8B" w:rsidP="003C07C9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00242">
              <w:rPr>
                <w:b/>
                <w:sz w:val="16"/>
                <w:szCs w:val="16"/>
                <w:lang w:val="en-US"/>
              </w:rPr>
              <w:t>/</w:t>
            </w:r>
            <w:r w:rsidRPr="00A00242">
              <w:rPr>
                <w:b/>
                <w:sz w:val="16"/>
                <w:szCs w:val="16"/>
              </w:rPr>
              <w:t>вкл. начина на получаване на предложението</w:t>
            </w:r>
            <w:r w:rsidRPr="00A00242">
              <w:rPr>
                <w:b/>
                <w:sz w:val="16"/>
                <w:szCs w:val="16"/>
                <w:lang w:val="en-US"/>
              </w:rPr>
              <w:t>/</w:t>
            </w:r>
          </w:p>
          <w:p w:rsidR="00635A8B" w:rsidRPr="00A00242" w:rsidRDefault="00635A8B" w:rsidP="003C07C9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635A8B" w:rsidRPr="00A00242" w:rsidRDefault="00635A8B" w:rsidP="003C07C9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5671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  <w:shd w:val="clear" w:color="auto" w:fill="DEEAF6"/>
            <w:vAlign w:val="center"/>
          </w:tcPr>
          <w:p w:rsidR="00635A8B" w:rsidRPr="00A00242" w:rsidRDefault="00635A8B" w:rsidP="003C07C9">
            <w:pPr>
              <w:jc w:val="center"/>
              <w:rPr>
                <w:b/>
                <w:sz w:val="23"/>
                <w:szCs w:val="23"/>
              </w:rPr>
            </w:pPr>
            <w:r w:rsidRPr="00A00242">
              <w:rPr>
                <w:b/>
                <w:sz w:val="23"/>
                <w:szCs w:val="23"/>
              </w:rPr>
              <w:t>Предложения и становища</w:t>
            </w:r>
          </w:p>
        </w:tc>
        <w:tc>
          <w:tcPr>
            <w:tcW w:w="2693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  <w:shd w:val="clear" w:color="auto" w:fill="DEEAF6"/>
            <w:vAlign w:val="center"/>
          </w:tcPr>
          <w:p w:rsidR="00635A8B" w:rsidRPr="00A00242" w:rsidRDefault="00635A8B" w:rsidP="003C07C9">
            <w:pPr>
              <w:jc w:val="center"/>
              <w:rPr>
                <w:b/>
                <w:sz w:val="23"/>
                <w:szCs w:val="23"/>
              </w:rPr>
            </w:pPr>
            <w:r w:rsidRPr="00A00242">
              <w:rPr>
                <w:b/>
                <w:sz w:val="23"/>
                <w:szCs w:val="23"/>
              </w:rPr>
              <w:t>Приети/</w:t>
            </w:r>
          </w:p>
          <w:p w:rsidR="00635A8B" w:rsidRPr="00A00242" w:rsidRDefault="00635A8B" w:rsidP="003C07C9">
            <w:pPr>
              <w:jc w:val="center"/>
              <w:rPr>
                <w:b/>
                <w:sz w:val="23"/>
                <w:szCs w:val="23"/>
              </w:rPr>
            </w:pPr>
            <w:r w:rsidRPr="00A00242">
              <w:rPr>
                <w:b/>
                <w:sz w:val="23"/>
                <w:szCs w:val="23"/>
              </w:rPr>
              <w:t>неприети</w:t>
            </w:r>
          </w:p>
        </w:tc>
        <w:tc>
          <w:tcPr>
            <w:tcW w:w="3688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36" w:space="0" w:color="2E74B5"/>
            </w:tcBorders>
            <w:shd w:val="clear" w:color="auto" w:fill="DEEAF6"/>
            <w:vAlign w:val="center"/>
          </w:tcPr>
          <w:p w:rsidR="00635A8B" w:rsidRPr="00A00242" w:rsidRDefault="00635A8B" w:rsidP="003C07C9">
            <w:pPr>
              <w:jc w:val="center"/>
              <w:rPr>
                <w:b/>
                <w:sz w:val="23"/>
                <w:szCs w:val="23"/>
              </w:rPr>
            </w:pPr>
            <w:r w:rsidRPr="00A00242">
              <w:rPr>
                <w:b/>
                <w:sz w:val="23"/>
                <w:szCs w:val="23"/>
              </w:rPr>
              <w:t>Мотиви</w:t>
            </w:r>
          </w:p>
        </w:tc>
      </w:tr>
      <w:tr w:rsidR="00635A8B" w:rsidRPr="00A00242" w:rsidTr="003C07C9">
        <w:trPr>
          <w:trHeight w:val="596"/>
        </w:trPr>
        <w:tc>
          <w:tcPr>
            <w:tcW w:w="622" w:type="dxa"/>
            <w:tcBorders>
              <w:top w:val="single" w:sz="36" w:space="0" w:color="2E74B5"/>
              <w:left w:val="single" w:sz="36" w:space="0" w:color="2E74B5"/>
              <w:right w:val="single" w:sz="18" w:space="0" w:color="2E74B5"/>
            </w:tcBorders>
            <w:shd w:val="clear" w:color="auto" w:fill="auto"/>
          </w:tcPr>
          <w:p w:rsidR="00635A8B" w:rsidRPr="00A00242" w:rsidRDefault="00635A8B" w:rsidP="003C07C9">
            <w:pPr>
              <w:numPr>
                <w:ilvl w:val="0"/>
                <w:numId w:val="1"/>
              </w:numPr>
              <w:tabs>
                <w:tab w:val="left" w:pos="192"/>
              </w:tabs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  <w:shd w:val="clear" w:color="auto" w:fill="auto"/>
          </w:tcPr>
          <w:p w:rsidR="00635A8B" w:rsidRPr="006E3D65" w:rsidRDefault="00635A8B" w:rsidP="003C07C9">
            <w:pPr>
              <w:rPr>
                <w:sz w:val="16"/>
                <w:szCs w:val="16"/>
              </w:rPr>
            </w:pPr>
          </w:p>
          <w:p w:rsidR="00635A8B" w:rsidRPr="00506C76" w:rsidRDefault="00635A8B" w:rsidP="003C07C9">
            <w:pPr>
              <w:rPr>
                <w:sz w:val="22"/>
                <w:szCs w:val="22"/>
              </w:rPr>
            </w:pPr>
            <w:proofErr w:type="spellStart"/>
            <w:r w:rsidRPr="00506C76">
              <w:rPr>
                <w:sz w:val="22"/>
                <w:szCs w:val="22"/>
              </w:rPr>
              <w:t>poptolev-tn</w:t>
            </w:r>
            <w:proofErr w:type="spellEnd"/>
          </w:p>
          <w:p w:rsidR="00635A8B" w:rsidRPr="00A00242" w:rsidRDefault="00635A8B" w:rsidP="003C07C9">
            <w:pPr>
              <w:rPr>
                <w:sz w:val="16"/>
                <w:szCs w:val="16"/>
              </w:rPr>
            </w:pPr>
            <w:r w:rsidRPr="006E3D65">
              <w:rPr>
                <w:sz w:val="16"/>
                <w:szCs w:val="16"/>
              </w:rPr>
              <w:t>/Становището е публикувано на Портала за обществени консултации /</w:t>
            </w:r>
          </w:p>
        </w:tc>
        <w:tc>
          <w:tcPr>
            <w:tcW w:w="5671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  <w:shd w:val="clear" w:color="auto" w:fill="auto"/>
          </w:tcPr>
          <w:p w:rsidR="00635A8B" w:rsidRPr="00A00242" w:rsidRDefault="00635A8B" w:rsidP="003C07C9">
            <w:pPr>
              <w:jc w:val="both"/>
              <w:outlineLvl w:val="3"/>
              <w:rPr>
                <w:sz w:val="23"/>
                <w:szCs w:val="23"/>
                <w:lang w:bidi="bg-BG"/>
              </w:rPr>
            </w:pPr>
            <w:r>
              <w:rPr>
                <w:sz w:val="23"/>
                <w:szCs w:val="23"/>
                <w:lang w:bidi="bg-BG"/>
              </w:rPr>
              <w:t>П</w:t>
            </w:r>
            <w:r w:rsidRPr="00506C76">
              <w:rPr>
                <w:sz w:val="23"/>
                <w:szCs w:val="23"/>
                <w:lang w:bidi="bg-BG"/>
              </w:rPr>
              <w:t>араграф 2 от проекта трябва да отпадне. Той няма нищо общо с материята на променяния закон.</w:t>
            </w:r>
          </w:p>
        </w:tc>
        <w:tc>
          <w:tcPr>
            <w:tcW w:w="2693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  <w:shd w:val="clear" w:color="auto" w:fill="auto"/>
          </w:tcPr>
          <w:p w:rsidR="00635A8B" w:rsidRPr="003D20A0" w:rsidRDefault="00635A8B" w:rsidP="003C07C9">
            <w:pPr>
              <w:jc w:val="both"/>
            </w:pPr>
            <w:r>
              <w:t xml:space="preserve"> Не се приема.</w:t>
            </w:r>
          </w:p>
        </w:tc>
        <w:tc>
          <w:tcPr>
            <w:tcW w:w="3688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36" w:space="0" w:color="2E74B5"/>
            </w:tcBorders>
            <w:shd w:val="clear" w:color="auto" w:fill="auto"/>
          </w:tcPr>
          <w:p w:rsidR="00635A8B" w:rsidRDefault="00635A8B" w:rsidP="003C07C9">
            <w:pPr>
              <w:jc w:val="both"/>
            </w:pPr>
            <w:r>
              <w:t>Целта на обществените консултации е вземане предвид на становището на гражданите и организациите на предприетите нормативни изменения, по съществото на които в случая не е изразено несъгласие.</w:t>
            </w:r>
          </w:p>
          <w:p w:rsidR="00635A8B" w:rsidRDefault="00635A8B" w:rsidP="003C07C9">
            <w:pPr>
              <w:jc w:val="both"/>
            </w:pPr>
            <w:r>
              <w:t>Както от мотивите, така и от самия текст на § 2 на законопроекта става ясно, че с него се изменя Законът за нотариусите и нотариалната дейност, следователно не може да се приеме, че изменението на изискванията за осъществяване на нотариална дейност няма нищо общо с изменяния закон.</w:t>
            </w:r>
          </w:p>
          <w:p w:rsidR="00635A8B" w:rsidRDefault="00635A8B" w:rsidP="003C07C9">
            <w:pPr>
              <w:jc w:val="both"/>
            </w:pPr>
            <w:r>
              <w:t>Що се отнася до законодателната техника, окрупнява</w:t>
            </w:r>
            <w:r w:rsidR="008365AB">
              <w:t>н</w:t>
            </w:r>
            <w:bookmarkStart w:id="0" w:name="_GoBack"/>
            <w:bookmarkEnd w:id="0"/>
            <w:r>
              <w:t xml:space="preserve">ето на законодателните предложения от изпълнителната власт е легитимна и желателна практика, която по никакъв начин не накърнява принципите за откритост, съгласуваност и пр. по чл. 26, ал. 1 ЗНА, доколкото гражданите и организациите са информирани за предмета на измененията и разполагат с </w:t>
            </w:r>
            <w:r>
              <w:lastRenderedPageBreak/>
              <w:t>пълната възможност да вземат становище по тях.</w:t>
            </w:r>
          </w:p>
          <w:p w:rsidR="00635A8B" w:rsidRDefault="00635A8B" w:rsidP="003C07C9">
            <w:pPr>
              <w:jc w:val="both"/>
            </w:pPr>
            <w:r>
              <w:t xml:space="preserve">Следва да се има предвид, че с Решение № 233 на Министерския съвет от 29.03.2024 г. е приет План за намаляване на административната тежест. Планът съдържа общо 235 мерки, които са в следните основни направления: </w:t>
            </w:r>
          </w:p>
          <w:p w:rsidR="00635A8B" w:rsidRDefault="00635A8B" w:rsidP="003C07C9">
            <w:pPr>
              <w:jc w:val="both"/>
            </w:pPr>
            <w:r>
              <w:t>1.</w:t>
            </w:r>
            <w:r>
              <w:tab/>
              <w:t>отпадане на изискуеми документи;</w:t>
            </w:r>
          </w:p>
          <w:p w:rsidR="00635A8B" w:rsidRDefault="00635A8B" w:rsidP="003C07C9">
            <w:pPr>
              <w:jc w:val="both"/>
            </w:pPr>
            <w:r>
              <w:t>2.</w:t>
            </w:r>
            <w:r>
              <w:tab/>
              <w:t>служебно събиране на информация;</w:t>
            </w:r>
          </w:p>
          <w:p w:rsidR="00635A8B" w:rsidRDefault="00635A8B" w:rsidP="003C07C9">
            <w:pPr>
              <w:jc w:val="both"/>
            </w:pPr>
            <w:r>
              <w:t>3.</w:t>
            </w:r>
            <w:r>
              <w:tab/>
              <w:t>установяването на процедурите по предоставянето на услуги в закон;</w:t>
            </w:r>
          </w:p>
          <w:p w:rsidR="00635A8B" w:rsidRDefault="00635A8B" w:rsidP="003C07C9">
            <w:pPr>
              <w:jc w:val="both"/>
            </w:pPr>
            <w:r>
              <w:t>4.</w:t>
            </w:r>
            <w:r>
              <w:tab/>
              <w:t>намаляване на срокове;</w:t>
            </w:r>
          </w:p>
          <w:p w:rsidR="00635A8B" w:rsidRDefault="00635A8B" w:rsidP="003C07C9">
            <w:pPr>
              <w:jc w:val="both"/>
            </w:pPr>
            <w:r>
              <w:t>5.</w:t>
            </w:r>
            <w:r>
              <w:tab/>
              <w:t>подобряване на дейностите по администриране на регистри и разширяване на тяхната използваемост в административните производства.</w:t>
            </w:r>
          </w:p>
          <w:p w:rsidR="00635A8B" w:rsidRPr="003D20A0" w:rsidRDefault="00635A8B" w:rsidP="003C07C9">
            <w:pPr>
              <w:jc w:val="both"/>
            </w:pPr>
            <w:r w:rsidRPr="007D037E">
              <w:t>Съгласно т. 2 от решението мерките в плана се изпълняват чрез законопроектите, одобрявани от Министерският съвет, независимо дали са включени в законодателната програма на Министерския съвет за съответния период.</w:t>
            </w:r>
          </w:p>
        </w:tc>
      </w:tr>
      <w:tr w:rsidR="00635A8B" w:rsidRPr="00A00242" w:rsidTr="003C07C9">
        <w:trPr>
          <w:trHeight w:val="596"/>
        </w:trPr>
        <w:tc>
          <w:tcPr>
            <w:tcW w:w="622" w:type="dxa"/>
            <w:tcBorders>
              <w:top w:val="single" w:sz="36" w:space="0" w:color="2E74B5"/>
              <w:left w:val="single" w:sz="36" w:space="0" w:color="2E74B5"/>
              <w:right w:val="single" w:sz="18" w:space="0" w:color="2E74B5"/>
            </w:tcBorders>
            <w:shd w:val="clear" w:color="auto" w:fill="auto"/>
          </w:tcPr>
          <w:p w:rsidR="00635A8B" w:rsidRPr="00A00242" w:rsidRDefault="00635A8B" w:rsidP="003C07C9">
            <w:pPr>
              <w:numPr>
                <w:ilvl w:val="0"/>
                <w:numId w:val="1"/>
              </w:numPr>
              <w:tabs>
                <w:tab w:val="left" w:pos="192"/>
              </w:tabs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  <w:shd w:val="clear" w:color="auto" w:fill="auto"/>
          </w:tcPr>
          <w:p w:rsidR="00635A8B" w:rsidRPr="006E3D65" w:rsidRDefault="00635A8B" w:rsidP="003C07C9">
            <w:pPr>
              <w:rPr>
                <w:b/>
              </w:rPr>
            </w:pPr>
          </w:p>
          <w:p w:rsidR="00635A8B" w:rsidRPr="00506C76" w:rsidRDefault="00635A8B" w:rsidP="003C07C9">
            <w:pPr>
              <w:rPr>
                <w:sz w:val="22"/>
                <w:szCs w:val="22"/>
              </w:rPr>
            </w:pPr>
            <w:proofErr w:type="spellStart"/>
            <w:r w:rsidRPr="00506C76">
              <w:rPr>
                <w:sz w:val="22"/>
                <w:szCs w:val="22"/>
              </w:rPr>
              <w:t>iremairena</w:t>
            </w:r>
            <w:proofErr w:type="spellEnd"/>
          </w:p>
          <w:p w:rsidR="00635A8B" w:rsidRDefault="00635A8B" w:rsidP="003C07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/Становището е публикувано на Портала за обществени консултации /</w:t>
            </w:r>
          </w:p>
          <w:p w:rsidR="00635A8B" w:rsidRDefault="00635A8B" w:rsidP="003C07C9">
            <w:pPr>
              <w:rPr>
                <w:sz w:val="16"/>
                <w:szCs w:val="16"/>
              </w:rPr>
            </w:pPr>
          </w:p>
          <w:p w:rsidR="00635A8B" w:rsidRDefault="00635A8B" w:rsidP="003C07C9">
            <w:pPr>
              <w:rPr>
                <w:sz w:val="16"/>
                <w:szCs w:val="16"/>
              </w:rPr>
            </w:pPr>
          </w:p>
          <w:p w:rsidR="00635A8B" w:rsidRPr="00376533" w:rsidRDefault="00635A8B" w:rsidP="003C07C9">
            <w:pPr>
              <w:rPr>
                <w:sz w:val="16"/>
                <w:szCs w:val="16"/>
              </w:rPr>
            </w:pPr>
          </w:p>
        </w:tc>
        <w:tc>
          <w:tcPr>
            <w:tcW w:w="5671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  <w:shd w:val="clear" w:color="auto" w:fill="auto"/>
          </w:tcPr>
          <w:p w:rsidR="00635A8B" w:rsidRDefault="00635A8B" w:rsidP="003C07C9">
            <w:pPr>
              <w:jc w:val="both"/>
              <w:outlineLvl w:val="3"/>
              <w:rPr>
                <w:sz w:val="23"/>
                <w:szCs w:val="23"/>
                <w:lang w:bidi="bg-BG"/>
              </w:rPr>
            </w:pPr>
            <w:r w:rsidRPr="00506C76">
              <w:rPr>
                <w:sz w:val="23"/>
                <w:szCs w:val="23"/>
                <w:lang w:bidi="bg-BG"/>
              </w:rPr>
              <w:t>Извинете, че не е по темата на общественото обсъждане.</w:t>
            </w:r>
          </w:p>
          <w:p w:rsidR="00635A8B" w:rsidRPr="00506C76" w:rsidRDefault="00635A8B" w:rsidP="003C07C9">
            <w:pPr>
              <w:jc w:val="both"/>
              <w:outlineLvl w:val="3"/>
              <w:rPr>
                <w:sz w:val="23"/>
                <w:szCs w:val="23"/>
                <w:lang w:bidi="bg-BG"/>
              </w:rPr>
            </w:pPr>
            <w:r w:rsidRPr="00506C76">
              <w:rPr>
                <w:sz w:val="23"/>
                <w:szCs w:val="23"/>
                <w:lang w:bidi="bg-BG"/>
              </w:rPr>
              <w:t xml:space="preserve">Питането ми е, кога ще се промени/допълни в  Закона за държавния печат и национално знаме на Република България отношението към националното знаме. Държавни служители, гвардейци и войски </w:t>
            </w:r>
            <w:r w:rsidRPr="00506C76">
              <w:rPr>
                <w:sz w:val="23"/>
                <w:szCs w:val="23"/>
                <w:lang w:bidi="bg-BG"/>
              </w:rPr>
              <w:lastRenderedPageBreak/>
              <w:t>части/пропускам гражданите/ носят знамето както им е удобно. до пилон или до друго място, и за неспазването от тях на размера по Закон. Допълнете  го в закона, за да е ясно,</w:t>
            </w:r>
            <w:r>
              <w:rPr>
                <w:sz w:val="23"/>
                <w:szCs w:val="23"/>
                <w:lang w:bidi="bg-BG"/>
              </w:rPr>
              <w:t xml:space="preserve"> </w:t>
            </w:r>
            <w:r w:rsidRPr="00506C76">
              <w:rPr>
                <w:sz w:val="23"/>
                <w:szCs w:val="23"/>
                <w:lang w:bidi="bg-BG"/>
              </w:rPr>
              <w:t xml:space="preserve">че знамето се носи до пилон по </w:t>
            </w:r>
            <w:proofErr w:type="spellStart"/>
            <w:r w:rsidRPr="00506C76">
              <w:rPr>
                <w:sz w:val="23"/>
                <w:szCs w:val="23"/>
                <w:lang w:bidi="bg-BG"/>
              </w:rPr>
              <w:t>еди</w:t>
            </w:r>
            <w:proofErr w:type="spellEnd"/>
            <w:r w:rsidRPr="00506C76">
              <w:rPr>
                <w:sz w:val="23"/>
                <w:szCs w:val="23"/>
                <w:lang w:bidi="bg-BG"/>
              </w:rPr>
              <w:t xml:space="preserve"> кой си начин, става объркване с това как се гледа знамето, кое е отзад, кое е отпред..</w:t>
            </w:r>
          </w:p>
          <w:p w:rsidR="00635A8B" w:rsidRPr="00506C76" w:rsidRDefault="00635A8B" w:rsidP="003C07C9">
            <w:pPr>
              <w:jc w:val="both"/>
              <w:outlineLvl w:val="3"/>
              <w:rPr>
                <w:sz w:val="23"/>
                <w:szCs w:val="23"/>
                <w:lang w:bidi="bg-BG"/>
              </w:rPr>
            </w:pPr>
          </w:p>
          <w:p w:rsidR="00635A8B" w:rsidRPr="00506C76" w:rsidRDefault="00635A8B" w:rsidP="003C07C9">
            <w:pPr>
              <w:jc w:val="both"/>
              <w:outlineLvl w:val="3"/>
              <w:rPr>
                <w:sz w:val="23"/>
                <w:szCs w:val="23"/>
                <w:lang w:bidi="bg-BG"/>
              </w:rPr>
            </w:pPr>
            <w:r w:rsidRPr="00506C76">
              <w:rPr>
                <w:sz w:val="23"/>
                <w:szCs w:val="23"/>
                <w:lang w:bidi="bg-BG"/>
              </w:rPr>
              <w:t>2) Националното знаме на Република България е трицветно: бяло, зелено и червено поле, поставени водоравно отгоре надолу. При поставяне на националното знаме във вертикално положение на носещо тяло цветовете се подреждат от ляво на дясно - бяло, зелено, червено, гледано срещу знамето.</w:t>
            </w:r>
          </w:p>
          <w:p w:rsidR="00635A8B" w:rsidRPr="00506C76" w:rsidRDefault="00635A8B" w:rsidP="003C07C9">
            <w:pPr>
              <w:jc w:val="both"/>
              <w:outlineLvl w:val="3"/>
              <w:rPr>
                <w:sz w:val="23"/>
                <w:szCs w:val="23"/>
                <w:lang w:bidi="bg-BG"/>
              </w:rPr>
            </w:pPr>
          </w:p>
          <w:p w:rsidR="00635A8B" w:rsidRPr="00506C76" w:rsidRDefault="00635A8B" w:rsidP="003C07C9">
            <w:pPr>
              <w:jc w:val="both"/>
              <w:outlineLvl w:val="3"/>
              <w:rPr>
                <w:sz w:val="23"/>
                <w:szCs w:val="23"/>
                <w:lang w:bidi="bg-BG"/>
              </w:rPr>
            </w:pPr>
            <w:r w:rsidRPr="00506C76">
              <w:rPr>
                <w:sz w:val="23"/>
                <w:szCs w:val="23"/>
                <w:lang w:bidi="bg-BG"/>
              </w:rPr>
              <w:t>Никъде не се споменава как се носи до пилон или друго място - вертикално положение.</w:t>
            </w:r>
          </w:p>
          <w:p w:rsidR="00635A8B" w:rsidRPr="00506C76" w:rsidRDefault="00635A8B" w:rsidP="003C07C9">
            <w:pPr>
              <w:jc w:val="both"/>
              <w:outlineLvl w:val="3"/>
              <w:rPr>
                <w:sz w:val="23"/>
                <w:szCs w:val="23"/>
                <w:lang w:bidi="bg-BG"/>
              </w:rPr>
            </w:pPr>
          </w:p>
          <w:p w:rsidR="00635A8B" w:rsidRPr="00506C76" w:rsidRDefault="00635A8B" w:rsidP="003C07C9">
            <w:pPr>
              <w:jc w:val="both"/>
              <w:outlineLvl w:val="3"/>
              <w:rPr>
                <w:sz w:val="23"/>
                <w:szCs w:val="23"/>
                <w:lang w:bidi="bg-BG"/>
              </w:rPr>
            </w:pPr>
            <w:r w:rsidRPr="00506C76">
              <w:rPr>
                <w:sz w:val="23"/>
                <w:szCs w:val="23"/>
                <w:lang w:bidi="bg-BG"/>
              </w:rPr>
              <w:t>Чл. 23. (1) При движение развятото знаме се носи на лявото рамо и се държи с лявата ръка, опъната по дръжката.</w:t>
            </w:r>
          </w:p>
          <w:p w:rsidR="00635A8B" w:rsidRPr="00376533" w:rsidRDefault="00635A8B" w:rsidP="003C07C9">
            <w:pPr>
              <w:jc w:val="both"/>
              <w:outlineLvl w:val="3"/>
              <w:rPr>
                <w:sz w:val="23"/>
                <w:szCs w:val="23"/>
                <w:lang w:bidi="bg-BG"/>
              </w:rPr>
            </w:pPr>
            <w:r w:rsidRPr="00506C76">
              <w:rPr>
                <w:sz w:val="23"/>
                <w:szCs w:val="23"/>
                <w:lang w:bidi="bg-BG"/>
              </w:rPr>
              <w:t>(2) При преминаване в тържествен марш знамето се носи отпред с изправена дръжка, която се придържа отдолу с лявата ръка на височина под пояса, а по средата се придържа с дясната ръка, която е на височината на рамото.</w:t>
            </w:r>
            <w:r w:rsidRPr="00376533">
              <w:rPr>
                <w:sz w:val="23"/>
                <w:szCs w:val="23"/>
                <w:lang w:bidi="bg-BG"/>
              </w:rPr>
              <w:tab/>
            </w:r>
          </w:p>
          <w:p w:rsidR="00635A8B" w:rsidRPr="00376533" w:rsidRDefault="00635A8B" w:rsidP="003C07C9">
            <w:pPr>
              <w:jc w:val="both"/>
              <w:outlineLvl w:val="3"/>
              <w:rPr>
                <w:sz w:val="23"/>
                <w:szCs w:val="23"/>
                <w:lang w:bidi="bg-BG"/>
              </w:rPr>
            </w:pPr>
            <w:r w:rsidRPr="00376533">
              <w:rPr>
                <w:sz w:val="23"/>
                <w:szCs w:val="23"/>
                <w:lang w:bidi="bg-BG"/>
              </w:rPr>
              <w:tab/>
            </w:r>
          </w:p>
          <w:p w:rsidR="00635A8B" w:rsidRPr="00A00242" w:rsidRDefault="00635A8B" w:rsidP="003C07C9">
            <w:pPr>
              <w:jc w:val="both"/>
              <w:outlineLvl w:val="3"/>
              <w:rPr>
                <w:sz w:val="23"/>
                <w:szCs w:val="23"/>
                <w:lang w:bidi="bg-BG"/>
              </w:rPr>
            </w:pPr>
          </w:p>
        </w:tc>
        <w:tc>
          <w:tcPr>
            <w:tcW w:w="2693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  <w:shd w:val="clear" w:color="auto" w:fill="auto"/>
          </w:tcPr>
          <w:p w:rsidR="00635A8B" w:rsidRDefault="00635A8B" w:rsidP="003C07C9">
            <w:pPr>
              <w:jc w:val="both"/>
            </w:pPr>
            <w:r>
              <w:lastRenderedPageBreak/>
              <w:t xml:space="preserve"> </w:t>
            </w:r>
            <w:r w:rsidRPr="0059695D">
              <w:t>Не се приема.</w:t>
            </w:r>
          </w:p>
        </w:tc>
        <w:tc>
          <w:tcPr>
            <w:tcW w:w="3688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36" w:space="0" w:color="2E74B5"/>
            </w:tcBorders>
            <w:shd w:val="clear" w:color="auto" w:fill="auto"/>
          </w:tcPr>
          <w:p w:rsidR="00635A8B" w:rsidRDefault="00635A8B" w:rsidP="003C07C9">
            <w:pPr>
              <w:jc w:val="both"/>
            </w:pPr>
            <w:r>
              <w:t xml:space="preserve">Както е посочено в самия коментар, той излиза извън обхвата на обществената консултация. Освен това то попада извън функционалната компетентност на </w:t>
            </w:r>
            <w:r>
              <w:lastRenderedPageBreak/>
              <w:t>Министерството на правосъдието.</w:t>
            </w:r>
          </w:p>
          <w:p w:rsidR="00635A8B" w:rsidRPr="003D20A0" w:rsidRDefault="00635A8B" w:rsidP="003C07C9">
            <w:pPr>
              <w:jc w:val="both"/>
            </w:pPr>
            <w:r>
              <w:t>Местата, на които се издига националното знаме, са уредени в чл. 16 – 20 от закона, а начинът на носенето му в движение – в чл. 23, независимо дали е на пилон. Съгласно чл. 15, ал. 2 и 3 знамето е правоъгълно и лентите са подредени в определена поредност (поначало хоризонтално), откъдето следва и коя страна на знамето е лицева. Следва да се отбележи, че конкретни предложения относно начина на носене на знамето не са отправени.</w:t>
            </w:r>
          </w:p>
        </w:tc>
      </w:tr>
    </w:tbl>
    <w:p w:rsidR="00635A8B" w:rsidRPr="00A00242" w:rsidRDefault="00635A8B" w:rsidP="00635A8B">
      <w:pPr>
        <w:jc w:val="both"/>
        <w:rPr>
          <w:sz w:val="23"/>
          <w:szCs w:val="23"/>
        </w:rPr>
      </w:pPr>
    </w:p>
    <w:p w:rsidR="00B5756D" w:rsidRDefault="00B5756D"/>
    <w:sectPr w:rsidR="00B5756D" w:rsidSect="00E00442">
      <w:footerReference w:type="even" r:id="rId7"/>
      <w:footerReference w:type="default" r:id="rId8"/>
      <w:pgSz w:w="16838" w:h="11906" w:orient="landscape" w:code="9"/>
      <w:pgMar w:top="426" w:right="1418" w:bottom="360" w:left="1134" w:header="709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5E6" w:rsidRDefault="00B445E6">
      <w:r>
        <w:separator/>
      </w:r>
    </w:p>
  </w:endnote>
  <w:endnote w:type="continuationSeparator" w:id="0">
    <w:p w:rsidR="00B445E6" w:rsidRDefault="00B44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F4C" w:rsidRDefault="00635A8B" w:rsidP="004428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2F4C" w:rsidRDefault="00B445E6" w:rsidP="00E9685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F4C" w:rsidRDefault="00635A8B" w:rsidP="004428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65AB">
      <w:rPr>
        <w:rStyle w:val="PageNumber"/>
        <w:noProof/>
      </w:rPr>
      <w:t>3</w:t>
    </w:r>
    <w:r>
      <w:rPr>
        <w:rStyle w:val="PageNumber"/>
      </w:rPr>
      <w:fldChar w:fldCharType="end"/>
    </w:r>
  </w:p>
  <w:p w:rsidR="00972F4C" w:rsidRDefault="00B445E6" w:rsidP="00E9685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5E6" w:rsidRDefault="00B445E6">
      <w:r>
        <w:separator/>
      </w:r>
    </w:p>
  </w:footnote>
  <w:footnote w:type="continuationSeparator" w:id="0">
    <w:p w:rsidR="00B445E6" w:rsidRDefault="00B44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A0C1B"/>
    <w:multiLevelType w:val="hybridMultilevel"/>
    <w:tmpl w:val="F5F4129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DAA"/>
    <w:rsid w:val="003156E2"/>
    <w:rsid w:val="00635A8B"/>
    <w:rsid w:val="00802276"/>
    <w:rsid w:val="008365AB"/>
    <w:rsid w:val="00976274"/>
    <w:rsid w:val="00A93DAA"/>
    <w:rsid w:val="00B445E6"/>
    <w:rsid w:val="00B5756D"/>
    <w:rsid w:val="00C95ED2"/>
    <w:rsid w:val="00D4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4D964"/>
  <w15:chartTrackingRefBased/>
  <w15:docId w15:val="{65C73BDB-FA92-4E8C-B08A-BD8D3499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35A8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635A8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635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Sokolova</dc:creator>
  <cp:keywords/>
  <dc:description/>
  <cp:lastModifiedBy>Goryana Todeva</cp:lastModifiedBy>
  <cp:revision>2</cp:revision>
  <dcterms:created xsi:type="dcterms:W3CDTF">2025-10-01T12:59:00Z</dcterms:created>
  <dcterms:modified xsi:type="dcterms:W3CDTF">2025-10-03T09:21:00Z</dcterms:modified>
</cp:coreProperties>
</file>