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1A3" w:rsidRPr="003E496B" w:rsidRDefault="00B45083" w:rsidP="00E641A3">
      <w:pPr>
        <w:tabs>
          <w:tab w:val="left" w:pos="5103"/>
        </w:tabs>
        <w:ind w:firstLine="0"/>
        <w:jc w:val="center"/>
        <w:rPr>
          <w:rFonts w:ascii="Verdana" w:hAnsi="Verdana"/>
          <w:b/>
          <w:lang w:val="bg-BG"/>
        </w:rPr>
      </w:pPr>
      <w:r>
        <w:rPr>
          <w:rFonts w:ascii="Verdana" w:hAnsi="Verdana"/>
          <w:b/>
          <w:lang w:val="bg-BG"/>
        </w:rPr>
        <w:t>МОТИВИ</w:t>
      </w:r>
    </w:p>
    <w:p w:rsidR="00E641A3" w:rsidRPr="00B45083" w:rsidRDefault="00B45083" w:rsidP="00B25778">
      <w:pPr>
        <w:ind w:firstLine="851"/>
        <w:jc w:val="center"/>
        <w:rPr>
          <w:rFonts w:ascii="Verdana" w:hAnsi="Verdana" w:cs="Arial"/>
          <w:b/>
          <w:iCs/>
          <w:lang w:val="bg-BG"/>
        </w:rPr>
      </w:pPr>
      <w:r>
        <w:rPr>
          <w:rFonts w:ascii="Verdana" w:hAnsi="Verdana"/>
          <w:b/>
          <w:lang w:val="bg-BG"/>
        </w:rPr>
        <w:t>към</w:t>
      </w:r>
      <w:r>
        <w:rPr>
          <w:rFonts w:ascii="Verdana" w:hAnsi="Verdana"/>
          <w:lang w:val="bg-BG"/>
        </w:rPr>
        <w:t xml:space="preserve"> </w:t>
      </w:r>
      <w:r w:rsidRPr="00B45083">
        <w:rPr>
          <w:rFonts w:ascii="Verdana" w:hAnsi="Verdana"/>
          <w:b/>
          <w:lang w:val="bg-BG"/>
        </w:rPr>
        <w:t>проект н</w:t>
      </w:r>
      <w:r w:rsidR="00E641A3" w:rsidRPr="00B45083">
        <w:rPr>
          <w:rFonts w:ascii="Verdana" w:hAnsi="Verdana"/>
          <w:b/>
          <w:lang w:val="bg-BG"/>
        </w:rPr>
        <w:t>а</w:t>
      </w:r>
      <w:r w:rsidRPr="00B45083">
        <w:rPr>
          <w:rFonts w:ascii="Verdana" w:hAnsi="Verdana"/>
          <w:b/>
          <w:lang w:val="bg-BG"/>
        </w:rPr>
        <w:t xml:space="preserve"> </w:t>
      </w:r>
      <w:r w:rsidR="00B25778" w:rsidRPr="00B25778">
        <w:rPr>
          <w:rFonts w:ascii="Verdana" w:hAnsi="Verdana" w:cs="Tahoma"/>
          <w:b/>
          <w:iCs/>
          <w:lang w:val="bg-BG" w:eastAsia="bg-BG"/>
        </w:rPr>
        <w:t>Наредба за изменение и допълнение на Наредба № Е-РД-04-1 от 12.03.2020 г. за топлоснабдяването</w:t>
      </w:r>
    </w:p>
    <w:p w:rsidR="00993746" w:rsidRDefault="00993746" w:rsidP="00E641A3">
      <w:pPr>
        <w:ind w:firstLine="851"/>
        <w:rPr>
          <w:rFonts w:ascii="Verdana" w:hAnsi="Verdana"/>
          <w:b/>
          <w:lang w:val="bg-BG"/>
        </w:rPr>
      </w:pPr>
    </w:p>
    <w:p w:rsidR="00B25778" w:rsidRPr="00B25778" w:rsidRDefault="00B25778" w:rsidP="00B25778">
      <w:pPr>
        <w:numPr>
          <w:ilvl w:val="0"/>
          <w:numId w:val="20"/>
        </w:numPr>
        <w:tabs>
          <w:tab w:val="left" w:pos="1134"/>
        </w:tabs>
        <w:overflowPunct w:val="0"/>
        <w:autoSpaceDE w:val="0"/>
        <w:autoSpaceDN w:val="0"/>
        <w:adjustRightInd w:val="0"/>
        <w:spacing w:line="240" w:lineRule="auto"/>
        <w:ind w:left="0" w:firstLine="851"/>
        <w:textAlignment w:val="baseline"/>
        <w:rPr>
          <w:rFonts w:ascii="Verdana" w:hAnsi="Verdana" w:cs="Tahoma"/>
          <w:b/>
          <w:iCs/>
          <w:lang w:val="bg-BG" w:eastAsia="bg-BG"/>
        </w:rPr>
      </w:pPr>
      <w:r w:rsidRPr="00B25778">
        <w:rPr>
          <w:rFonts w:ascii="Verdana" w:hAnsi="Verdana" w:cs="Tahoma"/>
          <w:b/>
          <w:iCs/>
          <w:lang w:val="bg-BG" w:eastAsia="bg-BG"/>
        </w:rPr>
        <w:t>Причини, които налагат приемането на Наредба за изменение и допълнение на Наредба № Е-РД-04-1 за топлоснабдяването:</w:t>
      </w:r>
    </w:p>
    <w:p w:rsidR="00B25778" w:rsidRDefault="00B25778" w:rsidP="00B25778">
      <w:pPr>
        <w:tabs>
          <w:tab w:val="left" w:pos="1134"/>
        </w:tabs>
        <w:overflowPunct w:val="0"/>
        <w:autoSpaceDE w:val="0"/>
        <w:autoSpaceDN w:val="0"/>
        <w:adjustRightInd w:val="0"/>
        <w:spacing w:line="240" w:lineRule="auto"/>
        <w:ind w:left="851" w:firstLine="0"/>
        <w:jc w:val="left"/>
        <w:textAlignment w:val="baseline"/>
        <w:rPr>
          <w:rFonts w:ascii="Verdana" w:hAnsi="Verdana" w:cs="Tahoma"/>
          <w:b/>
          <w:iCs/>
          <w:lang w:val="bg-BG" w:eastAsia="bg-BG"/>
        </w:rPr>
      </w:pPr>
    </w:p>
    <w:p w:rsidR="00B25778" w:rsidRPr="00B25778" w:rsidRDefault="00B25778" w:rsidP="00B25778">
      <w:pPr>
        <w:tabs>
          <w:tab w:val="left" w:pos="1134"/>
        </w:tabs>
        <w:overflowPunct w:val="0"/>
        <w:autoSpaceDE w:val="0"/>
        <w:autoSpaceDN w:val="0"/>
        <w:adjustRightInd w:val="0"/>
        <w:ind w:firstLine="851"/>
        <w:textAlignment w:val="baseline"/>
        <w:rPr>
          <w:rFonts w:ascii="Verdana" w:hAnsi="Verdana" w:cs="Tahoma"/>
          <w:b/>
          <w:iCs/>
          <w:lang w:val="bg-BG" w:eastAsia="bg-BG"/>
        </w:rPr>
      </w:pPr>
      <w:r w:rsidRPr="00B25778">
        <w:rPr>
          <w:rFonts w:ascii="Verdana" w:hAnsi="Verdana"/>
          <w:lang w:val="bg-BG"/>
        </w:rPr>
        <w:t>Наредба № Е-РД-04-1 от 12.03.2020 г. за топлоснабдяването (</w:t>
      </w:r>
      <w:proofErr w:type="spellStart"/>
      <w:r w:rsidRPr="00B25778">
        <w:rPr>
          <w:rFonts w:ascii="Verdana" w:hAnsi="Verdana"/>
          <w:lang w:val="bg-BG"/>
        </w:rPr>
        <w:t>обн</w:t>
      </w:r>
      <w:proofErr w:type="spellEnd"/>
      <w:r w:rsidRPr="00B25778">
        <w:rPr>
          <w:rFonts w:ascii="Verdana" w:hAnsi="Verdana"/>
          <w:lang w:val="bg-BG"/>
        </w:rPr>
        <w:t xml:space="preserve">. - ДВ, бр. 25 от 20.03.2020 г.) е издадена от министъра не енергетиката. С наредбата се определят редът и техническите условия за топлоснабдяване, за оперативно управление на </w:t>
      </w:r>
      <w:proofErr w:type="spellStart"/>
      <w:r w:rsidRPr="00B25778">
        <w:rPr>
          <w:rFonts w:ascii="Verdana" w:hAnsi="Verdana"/>
          <w:lang w:val="bg-BG"/>
        </w:rPr>
        <w:t>топлоснабдителната</w:t>
      </w:r>
      <w:proofErr w:type="spellEnd"/>
      <w:r w:rsidRPr="00B25778">
        <w:rPr>
          <w:rFonts w:ascii="Verdana" w:hAnsi="Verdana"/>
          <w:lang w:val="bg-BG"/>
        </w:rPr>
        <w:t xml:space="preserve"> система, за присъединяване на производители и клиенти към </w:t>
      </w:r>
      <w:proofErr w:type="spellStart"/>
      <w:r w:rsidRPr="00B25778">
        <w:rPr>
          <w:rFonts w:ascii="Verdana" w:hAnsi="Verdana"/>
          <w:lang w:val="bg-BG"/>
        </w:rPr>
        <w:t>топлопреносната</w:t>
      </w:r>
      <w:proofErr w:type="spellEnd"/>
      <w:r w:rsidRPr="00B25778">
        <w:rPr>
          <w:rFonts w:ascii="Verdana" w:hAnsi="Verdana"/>
          <w:lang w:val="bg-BG"/>
        </w:rPr>
        <w:t xml:space="preserve"> мрежа, за прекратяване на топлоснабдяването, за спиране на топлоподаването и за прилагане на дяловото разпределение на топлинната енергия в сгради.</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С Решение № 7276 от 3 юли 2023 г. по административно дело № 746 от 2021 г. на Върховния административен съд (ВАС) – 3 членен състав на Второ отделение, отмени т. 6.1.1 от методиката, приложение към чл. 61, ал. 1 от Наредба № Е-РД-04-1 от 12.03.2020 г. на министъра на енергетиката, § 2 и 3 от ПЗР на Наредба № Е-РД-04-1 от 12.03.2020 г. на министъра на енергетиката.</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С Решение № 1037 от 10 февруари 2025 г., по административно дело № 85 от 2024 г., (</w:t>
      </w:r>
      <w:proofErr w:type="spellStart"/>
      <w:r w:rsidRPr="00B25778">
        <w:rPr>
          <w:rFonts w:ascii="Verdana" w:hAnsi="Verdana" w:cs="Tahoma"/>
          <w:iCs/>
          <w:lang w:val="bg-BG" w:eastAsia="bg-BG"/>
        </w:rPr>
        <w:t>обн</w:t>
      </w:r>
      <w:proofErr w:type="spellEnd"/>
      <w:r w:rsidRPr="00B25778">
        <w:rPr>
          <w:rFonts w:ascii="Verdana" w:hAnsi="Verdana" w:cs="Tahoma"/>
          <w:iCs/>
          <w:lang w:val="bg-BG" w:eastAsia="bg-BG"/>
        </w:rPr>
        <w:t>. ДВ, бр. 16 от 2025 г., в сила от 25.02.2025 г.) Върховният административен съд на Република България – петчленен състав – II колегия, оставя в сила Решение № 7276 от 3.07.2023 г. на Върховния административен съд, тричленен състав на II отделение, по адм. дело № 746/2021 г.</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hAnsi="Verdana" w:cs="Tahoma"/>
          <w:iCs/>
          <w:lang w:val="bg-BG" w:eastAsia="bg-BG"/>
        </w:rPr>
        <w:t xml:space="preserve"> </w:t>
      </w:r>
      <w:r w:rsidRPr="00B25778">
        <w:rPr>
          <w:rFonts w:ascii="Verdana" w:eastAsia="Calibri" w:hAnsi="Verdana"/>
          <w:lang w:val="bg-BG"/>
        </w:rPr>
        <w:t xml:space="preserve">По същество с Решението на ВАС </w:t>
      </w:r>
      <w:r w:rsidRPr="00B25778">
        <w:rPr>
          <w:rFonts w:ascii="Verdana" w:eastAsia="Calibri" w:hAnsi="Verdana" w:cs="Verdana"/>
          <w:lang w:val="bg-BG"/>
        </w:rPr>
        <w:t xml:space="preserve">от 10.02.2025 г. </w:t>
      </w:r>
      <w:r w:rsidRPr="00B25778">
        <w:rPr>
          <w:rFonts w:ascii="Verdana" w:eastAsia="Calibri" w:hAnsi="Verdana"/>
          <w:lang w:val="bg-BG"/>
        </w:rPr>
        <w:t xml:space="preserve">се отменя формулата в Наредбата за топлоснабдяването за определяне на количеството топлинна енергия, отдадено от сградната инсталация в сгради – етажна собственост, в които разпределението се извършва с индивидуални разпределители, </w:t>
      </w:r>
      <w:r w:rsidRPr="00B25778">
        <w:rPr>
          <w:rFonts w:ascii="Verdana" w:eastAsia="Calibri" w:hAnsi="Verdana"/>
          <w:lang w:val="bg-BG" w:eastAsia="bg-BG"/>
        </w:rPr>
        <w:t>която е един от основните компоненти в сметката за топлинна енергия, получавана от всеки краен клиент.</w:t>
      </w:r>
    </w:p>
    <w:p w:rsidR="00B25778" w:rsidRPr="00B25778" w:rsidRDefault="00B25778" w:rsidP="00B25778">
      <w:pPr>
        <w:ind w:firstLine="708"/>
        <w:rPr>
          <w:rFonts w:ascii="Verdana" w:eastAsia="Calibri" w:hAnsi="Verdana"/>
          <w:lang w:val="bg-BG"/>
        </w:rPr>
      </w:pPr>
      <w:r w:rsidRPr="00B25778">
        <w:rPr>
          <w:rFonts w:ascii="Verdana" w:eastAsia="Calibri" w:hAnsi="Verdana"/>
          <w:lang w:val="bg-BG"/>
        </w:rPr>
        <w:t xml:space="preserve">Съгласно Закона за енергетиката (чл. 142, ал.2) топлинната енергия за отопление на сграда - етажна собственост, се разделя на топлинна енергия, отдадена от сградната инсталация, топлинна енергия за отопление на общите части и топлинна енергия за отопление на имотите. </w:t>
      </w:r>
      <w:r w:rsidRPr="00B25778">
        <w:rPr>
          <w:rFonts w:ascii="Verdana" w:hAnsi="Verdana" w:cs="Tahoma"/>
          <w:iCs/>
          <w:lang w:val="bg-BG" w:eastAsia="bg-BG"/>
        </w:rPr>
        <w:t>В настоящия момент в Закона за енергетиката са предвидени четири начина за определяне на количеството топлинна енергия, отдадена от сградната инсталация при въведена система за дялово разпределение чрез индивидуални разпределители, както следва (чл. 143 от ЗЕ):</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 xml:space="preserve">  „(1) Потребителите на топлинна енергия в сграда - етажна собственост, избират метод за определяне на количеството топлинна енергия, отдадена от сградна инсталация, при въведена система за дялово разпределение чрез индивидуални разпределители съгласно наредбата по чл. 125, ал. 3.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lastRenderedPageBreak/>
        <w:t xml:space="preserve">(2) Когато потребителите на топлинна енергия в сграда - етажна собственост, не изберат метод за определяне на количеството топлинна енергия, количеството топлинна енергия, отдадена от сградната инсталация при въведена система за дялово разпределение чрез индивидуални разпределители, се определя от лицето по чл. 139б, ал. 1 съгласно методиката по наредбата по чл. 125, ал. 3.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(3) Изборът по ал. 1 се извършва с решение на общото събрание на собствениците или на сдружението на собствениците по реда на Закона за управление на етажната собственост.“</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 xml:space="preserve">Във връзка с гореизложеното е и разпоредбата на чл. 63, ал. 2, буква „е“ от Наредба № Е-РД-04-1, съгласно която: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 xml:space="preserve">“е) количеството топлинна енергия, отдадена от сградната инсталация, съгласно решение на общото събрание на етажната собственост, взето преди започване на отоплителния сезон, по един от следните варианти: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proofErr w:type="spellStart"/>
      <w:r w:rsidRPr="00B25778">
        <w:rPr>
          <w:rFonts w:ascii="Verdana" w:hAnsi="Verdana" w:cs="Tahoma"/>
          <w:iCs/>
          <w:lang w:val="bg-BG" w:eastAsia="bg-BG"/>
        </w:rPr>
        <w:t>аа</w:t>
      </w:r>
      <w:proofErr w:type="spellEnd"/>
      <w:r w:rsidRPr="00B25778">
        <w:rPr>
          <w:rFonts w:ascii="Verdana" w:hAnsi="Verdana" w:cs="Tahoma"/>
          <w:iCs/>
          <w:lang w:val="bg-BG" w:eastAsia="bg-BG"/>
        </w:rPr>
        <w:t xml:space="preserve">) по т. 6.1.1 от методиката, приложение към чл. 61, ал. 1 (Отм. с Решение № 7276 на ВАС на РБ и Решение № 1037 на ВАС на РБ - ДВ, бр. 16 от 2025 г. в сила от 25.02.2025 г.).;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proofErr w:type="spellStart"/>
      <w:r w:rsidRPr="00B25778">
        <w:rPr>
          <w:rFonts w:ascii="Verdana" w:hAnsi="Verdana" w:cs="Tahoma"/>
          <w:iCs/>
          <w:lang w:val="bg-BG" w:eastAsia="bg-BG"/>
        </w:rPr>
        <w:t>бб</w:t>
      </w:r>
      <w:proofErr w:type="spellEnd"/>
      <w:r w:rsidRPr="00B25778">
        <w:rPr>
          <w:rFonts w:ascii="Verdana" w:hAnsi="Verdana" w:cs="Tahoma"/>
          <w:iCs/>
          <w:lang w:val="bg-BG" w:eastAsia="bg-BG"/>
        </w:rPr>
        <w:t xml:space="preserve">) по т. 6.1.2 от методиката, приложение към чл. 61, ал. 1;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proofErr w:type="spellStart"/>
      <w:r w:rsidRPr="00B25778">
        <w:rPr>
          <w:rFonts w:ascii="Verdana" w:hAnsi="Verdana" w:cs="Tahoma"/>
          <w:iCs/>
          <w:lang w:val="bg-BG" w:eastAsia="bg-BG"/>
        </w:rPr>
        <w:t>вв</w:t>
      </w:r>
      <w:proofErr w:type="spellEnd"/>
      <w:r w:rsidRPr="00B25778">
        <w:rPr>
          <w:rFonts w:ascii="Verdana" w:hAnsi="Verdana" w:cs="Tahoma"/>
          <w:iCs/>
          <w:lang w:val="bg-BG" w:eastAsia="bg-BG"/>
        </w:rPr>
        <w:t xml:space="preserve">) по реално измерено количество енергия за сградна инсталация от избрано от общото събрание на етажната собственост лице в присъствието на представител на </w:t>
      </w:r>
      <w:proofErr w:type="spellStart"/>
      <w:r w:rsidRPr="00B25778">
        <w:rPr>
          <w:rFonts w:ascii="Verdana" w:hAnsi="Verdana" w:cs="Tahoma"/>
          <w:iCs/>
          <w:lang w:val="bg-BG" w:eastAsia="bg-BG"/>
        </w:rPr>
        <w:t>топлопреносното</w:t>
      </w:r>
      <w:proofErr w:type="spellEnd"/>
      <w:r w:rsidRPr="00B25778">
        <w:rPr>
          <w:rFonts w:ascii="Verdana" w:hAnsi="Verdana" w:cs="Tahoma"/>
          <w:iCs/>
          <w:lang w:val="bg-BG" w:eastAsia="bg-BG"/>
        </w:rPr>
        <w:t xml:space="preserve"> предприятие и на представител на етажната собственост; избраното лице трябва да има завършено висше образование с образователно-квалификационна степен „магистър" по специалност от професионално направление „Енергетика";</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proofErr w:type="spellStart"/>
      <w:r w:rsidRPr="00B25778">
        <w:rPr>
          <w:rFonts w:ascii="Verdana" w:hAnsi="Verdana" w:cs="Tahoma"/>
          <w:iCs/>
          <w:lang w:val="bg-BG" w:eastAsia="bg-BG"/>
        </w:rPr>
        <w:t>гг</w:t>
      </w:r>
      <w:proofErr w:type="spellEnd"/>
      <w:r w:rsidRPr="00B25778">
        <w:rPr>
          <w:rFonts w:ascii="Verdana" w:hAnsi="Verdana" w:cs="Tahoma"/>
          <w:iCs/>
          <w:lang w:val="bg-BG" w:eastAsia="bg-BG"/>
        </w:rPr>
        <w:t>) по избрана стойност за процент сградна инсталация, който не може да бъде по-малък от 20 на сто и по-голям от 40 на сто от количеството топлинна енергия за отопление на сградата - етажна собственост. "</w:t>
      </w:r>
    </w:p>
    <w:p w:rsidR="00B25778" w:rsidRPr="00B25778" w:rsidRDefault="00B25778" w:rsidP="00B25778">
      <w:pPr>
        <w:overflowPunct w:val="0"/>
        <w:autoSpaceDE w:val="0"/>
        <w:autoSpaceDN w:val="0"/>
        <w:adjustRightInd w:val="0"/>
        <w:ind w:firstLine="851"/>
        <w:textAlignment w:val="baseline"/>
        <w:rPr>
          <w:rFonts w:ascii="Verdana" w:hAnsi="Verdana" w:cs="Tahoma"/>
          <w:iCs/>
          <w:lang w:val="bg-BG" w:eastAsia="bg-BG"/>
        </w:rPr>
      </w:pPr>
      <w:r w:rsidRPr="00B25778">
        <w:rPr>
          <w:rFonts w:ascii="Verdana" w:hAnsi="Verdana" w:cs="Tahoma"/>
          <w:iCs/>
          <w:lang w:val="bg-BG" w:eastAsia="bg-BG"/>
        </w:rPr>
        <w:t xml:space="preserve">В чл. 63, ал. 7 от Наредба № Е-РД-04-1 е разписано, че при липса на решение на общото събрание на етажната собственост за избор на един от вариантите по ал. 2, т. 2, буква „е" топлинната енергия, отдадена от сградната инсталация (какъвто е преобладаващият случай), се определя от лицето по чл. 139б, ал. 1 ЗЕ съгласно т. 6.1.1 от приложението.  </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hAnsi="Verdana" w:cs="Tahoma"/>
          <w:iCs/>
          <w:lang w:val="bg-BG" w:eastAsia="bg-BG"/>
        </w:rPr>
        <w:t xml:space="preserve">В съответствие с мотивите на ВАС, изложени в Решение № 1037 от 10.02.2025 г. относно отменянето на формулата (т.6.1.1) за определянето на количеството топлинна енергия, отдадено от сградната инсталация </w:t>
      </w:r>
      <w:r w:rsidRPr="00B25778">
        <w:rPr>
          <w:rFonts w:ascii="Verdana" w:eastAsia="Calibri" w:hAnsi="Verdana"/>
          <w:lang w:val="bg-BG" w:eastAsia="bg-BG"/>
        </w:rPr>
        <w:t>е изготвен проект на Наредба за изменение и допълнение на Наредба № Е-РД-04-1</w:t>
      </w:r>
      <w:r w:rsidRPr="00B25778">
        <w:rPr>
          <w:lang w:val="bg-BG"/>
        </w:rPr>
        <w:t xml:space="preserve"> </w:t>
      </w:r>
      <w:r w:rsidRPr="00B25778">
        <w:rPr>
          <w:rFonts w:ascii="Verdana" w:eastAsia="Calibri" w:hAnsi="Verdana"/>
          <w:lang w:val="bg-BG" w:eastAsia="bg-BG"/>
        </w:rPr>
        <w:t xml:space="preserve">от 12.03.2020 г. за топлоснабдяването. </w:t>
      </w:r>
    </w:p>
    <w:p w:rsidR="00B25778" w:rsidRPr="00B25778" w:rsidRDefault="00B25778" w:rsidP="00B25778">
      <w:pPr>
        <w:overflowPunct w:val="0"/>
        <w:autoSpaceDE w:val="0"/>
        <w:autoSpaceDN w:val="0"/>
        <w:adjustRightInd w:val="0"/>
        <w:ind w:firstLine="851"/>
        <w:textAlignment w:val="baseline"/>
        <w:rPr>
          <w:rFonts w:ascii="Verdana" w:hAnsi="Verdana" w:cs="Tahoma"/>
          <w:b/>
          <w:iCs/>
          <w:lang w:val="bg-BG" w:eastAsia="bg-BG"/>
        </w:rPr>
      </w:pPr>
      <w:r w:rsidRPr="00B25778">
        <w:rPr>
          <w:rFonts w:ascii="Verdana" w:eastAsia="Calibri" w:hAnsi="Verdana"/>
          <w:lang w:val="bg-BG" w:eastAsia="bg-BG"/>
        </w:rPr>
        <w:t>В проекта на наредбата се предлага количеството топлинна енергия,</w:t>
      </w:r>
      <w:r w:rsidRPr="00B25778">
        <w:rPr>
          <w:rFonts w:ascii="Verdana" w:hAnsi="Verdana" w:cs="Tahoma"/>
          <w:iCs/>
          <w:lang w:val="bg-BG" w:eastAsia="bg-BG"/>
        </w:rPr>
        <w:t xml:space="preserve"> отдадено от сградната инсталация </w:t>
      </w:r>
      <w:r w:rsidRPr="00B25778">
        <w:rPr>
          <w:rFonts w:ascii="Verdana" w:eastAsia="Calibri" w:hAnsi="Verdana"/>
          <w:b/>
          <w:lang w:val="bg-BG" w:eastAsia="bg-BG"/>
        </w:rPr>
        <w:t xml:space="preserve">да се определя, </w:t>
      </w:r>
      <w:r w:rsidRPr="00B25778">
        <w:rPr>
          <w:rFonts w:ascii="Verdana" w:hAnsi="Verdana"/>
          <w:b/>
          <w:bCs/>
          <w:lang w:val="bg-BG" w:eastAsia="bg-BG"/>
        </w:rPr>
        <w:t>размер 30 на сто</w:t>
      </w:r>
      <w:r w:rsidRPr="00B25778">
        <w:rPr>
          <w:rFonts w:ascii="Verdana" w:hAnsi="Verdana"/>
          <w:bCs/>
          <w:lang w:val="bg-BG" w:eastAsia="bg-BG"/>
        </w:rPr>
        <w:t xml:space="preserve"> </w:t>
      </w:r>
      <w:r w:rsidRPr="00B25778">
        <w:rPr>
          <w:rFonts w:ascii="Verdana" w:eastAsia="Calibri" w:hAnsi="Verdana"/>
          <w:b/>
          <w:lang w:val="bg-BG" w:eastAsia="bg-BG"/>
        </w:rPr>
        <w:t>от количеството топлинна енергия за отопление на сградата-етажна собственост чрез предложената нова редакция на т. 6.1.1</w:t>
      </w:r>
      <w:r w:rsidRPr="00B25778">
        <w:rPr>
          <w:rFonts w:ascii="Verdana" w:hAnsi="Verdana" w:cs="Tahoma"/>
          <w:iCs/>
          <w:lang w:val="bg-BG" w:eastAsia="bg-BG"/>
        </w:rPr>
        <w:t xml:space="preserve"> от методиката, приложение към чл. 61, ал. 1 от Наредба № Е-РД-04-1.</w:t>
      </w:r>
    </w:p>
    <w:p w:rsidR="00B25778" w:rsidRPr="00B25778" w:rsidRDefault="00B25778" w:rsidP="00B25778">
      <w:pPr>
        <w:tabs>
          <w:tab w:val="left" w:pos="851"/>
        </w:tabs>
        <w:ind w:firstLine="0"/>
        <w:contextualSpacing/>
        <w:rPr>
          <w:rFonts w:ascii="Verdana" w:hAnsi="Verdana" w:cs="Tahoma"/>
          <w:iCs/>
          <w:lang w:val="bg-BG" w:eastAsia="bg-BG"/>
        </w:rPr>
      </w:pPr>
      <w:r w:rsidRPr="00B25778">
        <w:rPr>
          <w:rFonts w:ascii="Verdana" w:eastAsia="Calibri" w:hAnsi="Verdana"/>
          <w:lang w:val="bg-BG"/>
        </w:rPr>
        <w:tab/>
      </w:r>
      <w:r w:rsidRPr="00B25778">
        <w:rPr>
          <w:rFonts w:ascii="Verdana" w:eastAsia="Calibri" w:hAnsi="Verdana" w:cs="Verdana"/>
          <w:lang w:val="bg-BG"/>
        </w:rPr>
        <w:t xml:space="preserve">Последствията от приетото Решение на ВАС от 10.02.2025 г., е  невъзможност лицата по чл.139б от ЗЕ да определят топлинната енергия, отдадена от сградната инсталация за </w:t>
      </w:r>
      <w:r w:rsidRPr="00B25778">
        <w:rPr>
          <w:rFonts w:ascii="Verdana" w:eastAsia="Calibri" w:hAnsi="Verdana" w:cs="Verdana"/>
          <w:lang w:val="bg-BG"/>
        </w:rPr>
        <w:lastRenderedPageBreak/>
        <w:t>сгради-етажна собственост, в които разпределението на топлинната енергия се извършва чрез индивидуални разпределители.</w:t>
      </w:r>
    </w:p>
    <w:p w:rsidR="00B25778" w:rsidRDefault="00B25778" w:rsidP="00B25778">
      <w:pPr>
        <w:tabs>
          <w:tab w:val="left" w:pos="851"/>
        </w:tabs>
        <w:ind w:firstLine="0"/>
        <w:contextualSpacing/>
        <w:rPr>
          <w:rFonts w:ascii="Verdana" w:hAnsi="Verdana" w:cs="Tahoma"/>
          <w:iCs/>
          <w:lang w:val="bg-BG" w:eastAsia="bg-BG"/>
        </w:rPr>
      </w:pPr>
      <w:r w:rsidRPr="00B25778">
        <w:rPr>
          <w:rFonts w:ascii="Verdana" w:eastAsia="Calibri" w:hAnsi="Verdana" w:cs="Verdana"/>
          <w:lang w:val="bg-BG"/>
        </w:rPr>
        <w:tab/>
      </w:r>
      <w:r w:rsidRPr="00B25778">
        <w:rPr>
          <w:rFonts w:ascii="Verdana" w:hAnsi="Verdana" w:cs="Tahoma"/>
          <w:iCs/>
          <w:lang w:val="bg-BG" w:eastAsia="bg-BG"/>
        </w:rPr>
        <w:t xml:space="preserve">Съдът е мотивирал отмяната на разпоредбата със съображение, че „във връзка с така очертаната законова рамка за определяне на топлинната енергия отдадена от сградната инсталация, отчитането на която енергия е безспорно допустимо съгласно законодателството, не е предвидено да бъдат включвани при отчитането й компоненти като вида на изпълнение на вътрешната отоплителна инсталация, </w:t>
      </w:r>
      <w:proofErr w:type="spellStart"/>
      <w:r w:rsidRPr="00B25778">
        <w:rPr>
          <w:rFonts w:ascii="Verdana" w:hAnsi="Verdana" w:cs="Tahoma"/>
          <w:iCs/>
          <w:lang w:val="bg-BG" w:eastAsia="bg-BG"/>
        </w:rPr>
        <w:t>денградуси</w:t>
      </w:r>
      <w:proofErr w:type="spellEnd"/>
      <w:r w:rsidRPr="00B25778">
        <w:rPr>
          <w:rFonts w:ascii="Verdana" w:hAnsi="Verdana" w:cs="Tahoma"/>
          <w:iCs/>
          <w:lang w:val="bg-BG" w:eastAsia="bg-BG"/>
        </w:rPr>
        <w:t xml:space="preserve"> за отчетния период, средна температура на сградата или средна външна температура за отчетния период или външна изчислителна температура за населеното място, които са залегнали в разписаната формула по т. 6.1.1 от Приложение към чл. 61 ал. 1. </w:t>
      </w:r>
    </w:p>
    <w:p w:rsidR="00B25778" w:rsidRPr="00B25778" w:rsidRDefault="00B25778" w:rsidP="00B25778">
      <w:pPr>
        <w:tabs>
          <w:tab w:val="left" w:pos="851"/>
        </w:tabs>
        <w:ind w:firstLine="0"/>
        <w:contextualSpacing/>
        <w:rPr>
          <w:rFonts w:ascii="Verdana" w:hAnsi="Verdana" w:cs="Tahoma"/>
          <w:iCs/>
          <w:lang w:val="bg-BG" w:eastAsia="bg-BG"/>
        </w:rPr>
      </w:pPr>
    </w:p>
    <w:p w:rsidR="00B25778" w:rsidRDefault="00B25778" w:rsidP="00B25778">
      <w:pPr>
        <w:numPr>
          <w:ilvl w:val="0"/>
          <w:numId w:val="19"/>
        </w:numPr>
        <w:tabs>
          <w:tab w:val="left" w:pos="1701"/>
        </w:tabs>
        <w:overflowPunct w:val="0"/>
        <w:autoSpaceDE w:val="0"/>
        <w:autoSpaceDN w:val="0"/>
        <w:adjustRightInd w:val="0"/>
        <w:ind w:left="1418" w:firstLine="0"/>
        <w:contextualSpacing/>
        <w:jc w:val="left"/>
        <w:textAlignment w:val="baseline"/>
        <w:rPr>
          <w:rFonts w:ascii="Verdana" w:eastAsia="Calibri" w:hAnsi="Verdana"/>
          <w:b/>
          <w:lang w:val="bg-BG" w:eastAsia="bg-BG"/>
        </w:rPr>
      </w:pPr>
      <w:r w:rsidRPr="00B25778">
        <w:rPr>
          <w:rFonts w:ascii="Verdana" w:eastAsia="Calibri" w:hAnsi="Verdana"/>
          <w:b/>
          <w:lang w:val="bg-BG" w:eastAsia="bg-BG"/>
        </w:rPr>
        <w:t>Целите, които се поставят:</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С проекта на НИД на Наредба № Е-РД-04-1 лицата по чл.139б от ЗЕ ще могат да определят топлинната енергия, отдадена от сградната инсталация за сгради-етажна собственост, в които разпределението на топлинната енергия се извършва чрез индивидуални разпределители и да изготвят индивидуални изравнителни сметки за клиентите.</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p>
    <w:p w:rsidR="00B25778" w:rsidRPr="00B25778" w:rsidRDefault="00B25778" w:rsidP="00B25778">
      <w:pPr>
        <w:numPr>
          <w:ilvl w:val="0"/>
          <w:numId w:val="18"/>
        </w:numPr>
        <w:tabs>
          <w:tab w:val="left" w:pos="993"/>
        </w:tabs>
        <w:overflowPunct w:val="0"/>
        <w:autoSpaceDE w:val="0"/>
        <w:autoSpaceDN w:val="0"/>
        <w:adjustRightInd w:val="0"/>
        <w:spacing w:line="240" w:lineRule="auto"/>
        <w:ind w:left="0" w:firstLine="851"/>
        <w:contextualSpacing/>
        <w:jc w:val="left"/>
        <w:textAlignment w:val="baseline"/>
        <w:rPr>
          <w:rFonts w:ascii="Verdana" w:eastAsia="Calibri" w:hAnsi="Verdana"/>
          <w:b/>
          <w:lang w:val="bg-BG" w:eastAsia="bg-BG"/>
        </w:rPr>
      </w:pPr>
      <w:r w:rsidRPr="00B25778">
        <w:rPr>
          <w:rFonts w:ascii="Verdana" w:eastAsia="Calibri" w:hAnsi="Verdana"/>
          <w:b/>
          <w:lang w:val="bg-BG" w:eastAsia="bg-BG"/>
        </w:rPr>
        <w:t>Финансови и други средства, необходими за прилагането на новата уредба:</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Прилагането на проекта на НИД на Наредба № Е-РД-04-1 не е обвързано с разходи за държавния бюджет.</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p>
    <w:p w:rsidR="00B25778" w:rsidRPr="00B25778" w:rsidRDefault="00B25778" w:rsidP="00B25778">
      <w:pPr>
        <w:numPr>
          <w:ilvl w:val="0"/>
          <w:numId w:val="17"/>
        </w:numPr>
        <w:overflowPunct w:val="0"/>
        <w:autoSpaceDE w:val="0"/>
        <w:autoSpaceDN w:val="0"/>
        <w:adjustRightInd w:val="0"/>
        <w:ind w:left="1418" w:hanging="567"/>
        <w:contextualSpacing/>
        <w:jc w:val="left"/>
        <w:textAlignment w:val="baseline"/>
        <w:rPr>
          <w:rFonts w:ascii="Verdana" w:eastAsia="Calibri" w:hAnsi="Verdana"/>
          <w:lang w:val="bg-BG" w:eastAsia="bg-BG"/>
        </w:rPr>
      </w:pPr>
      <w:r w:rsidRPr="00B25778">
        <w:rPr>
          <w:rFonts w:ascii="Verdana" w:eastAsia="Calibri" w:hAnsi="Verdana"/>
          <w:b/>
          <w:lang w:val="bg-BG" w:eastAsia="bg-BG"/>
        </w:rPr>
        <w:t>Очаквани резултати от прилагането:</w:t>
      </w:r>
    </w:p>
    <w:p w:rsidR="00B25778" w:rsidRPr="00B25778" w:rsidRDefault="00B25778" w:rsidP="00B25778">
      <w:pPr>
        <w:shd w:val="clear" w:color="auto" w:fill="FFFFFF"/>
        <w:ind w:firstLine="851"/>
        <w:rPr>
          <w:rFonts w:ascii="Verdana" w:hAnsi="Verdana"/>
          <w:spacing w:val="1"/>
          <w:lang w:val="bg-BG" w:eastAsia="bg-BG"/>
        </w:rPr>
      </w:pPr>
      <w:r w:rsidRPr="00B25778">
        <w:rPr>
          <w:rFonts w:ascii="Verdana" w:hAnsi="Verdana"/>
          <w:spacing w:val="1"/>
          <w:lang w:val="bg-BG" w:eastAsia="bg-BG"/>
        </w:rPr>
        <w:t xml:space="preserve">В чл. 195, ал. 2 от </w:t>
      </w:r>
      <w:proofErr w:type="spellStart"/>
      <w:r w:rsidRPr="00B25778">
        <w:rPr>
          <w:rFonts w:ascii="Verdana" w:hAnsi="Verdana"/>
          <w:spacing w:val="1"/>
          <w:lang w:val="bg-BG" w:eastAsia="bg-BG"/>
        </w:rPr>
        <w:t>Административнопроцесуалния</w:t>
      </w:r>
      <w:proofErr w:type="spellEnd"/>
      <w:r w:rsidRPr="00B25778">
        <w:rPr>
          <w:rFonts w:ascii="Verdana" w:hAnsi="Verdana"/>
          <w:spacing w:val="1"/>
          <w:lang w:val="bg-BG" w:eastAsia="bg-BG"/>
        </w:rPr>
        <w:t xml:space="preserve"> кодекс (АПК) е посочено, че правните последици, възникнали от подзаконов нормативен акт, който е обявен за нищожен или е отменен като </w:t>
      </w:r>
      <w:proofErr w:type="spellStart"/>
      <w:r w:rsidRPr="00B25778">
        <w:rPr>
          <w:rFonts w:ascii="Verdana" w:hAnsi="Verdana"/>
          <w:spacing w:val="1"/>
          <w:lang w:val="bg-BG" w:eastAsia="bg-BG"/>
        </w:rPr>
        <w:t>унищожаем</w:t>
      </w:r>
      <w:proofErr w:type="spellEnd"/>
      <w:r w:rsidRPr="00B25778">
        <w:rPr>
          <w:rFonts w:ascii="Verdana" w:hAnsi="Verdana"/>
          <w:spacing w:val="1"/>
          <w:lang w:val="bg-BG" w:eastAsia="bg-BG"/>
        </w:rPr>
        <w:t xml:space="preserve"> (какъвто е конкретният случай), се уреждат служебно от компетентния орган в срок не по-дълъг от три месеца от влизането в сила на съдебното решение.</w:t>
      </w:r>
    </w:p>
    <w:p w:rsidR="00B25778" w:rsidRPr="00B25778" w:rsidRDefault="00B25778" w:rsidP="00B25778">
      <w:pPr>
        <w:overflowPunct w:val="0"/>
        <w:autoSpaceDE w:val="0"/>
        <w:autoSpaceDN w:val="0"/>
        <w:adjustRightInd w:val="0"/>
        <w:ind w:firstLine="851"/>
        <w:textAlignment w:val="baseline"/>
        <w:rPr>
          <w:rFonts w:ascii="Verdana" w:hAnsi="Verdana"/>
          <w:noProof/>
          <w:lang w:val="bg-BG"/>
        </w:rPr>
      </w:pPr>
      <w:r w:rsidRPr="00B25778">
        <w:rPr>
          <w:rFonts w:ascii="Verdana" w:hAnsi="Verdana"/>
          <w:noProof/>
          <w:lang w:val="bg-BG"/>
        </w:rPr>
        <w:t xml:space="preserve">В изпълнение на посочените разпоредби от АПК е разработен проект за изменение и допълнение на Наредба </w:t>
      </w:r>
      <w:r w:rsidRPr="00B25778">
        <w:rPr>
          <w:rFonts w:ascii="Verdana" w:hAnsi="Verdana"/>
          <w:bCs/>
          <w:lang w:val="bg-BG"/>
        </w:rPr>
        <w:t xml:space="preserve">№ Е-РД-04-1 от 12.03.2020 г. </w:t>
      </w:r>
      <w:r w:rsidRPr="00B25778">
        <w:rPr>
          <w:rFonts w:ascii="Verdana" w:hAnsi="Verdana"/>
          <w:noProof/>
          <w:lang w:val="bg-BG"/>
        </w:rPr>
        <w:t>за топлоснабдяването.</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 xml:space="preserve">С проекта на НИД на Наредба № Е-РД-04-1 се въвежда нов начин за определяне на количеството на топлинната енергия, отдадена от сградната инсталация, когато липсва решение на общото събрание на етажната собственост за избор на един от вариантите, разписани в чл. 63, ал. 2, т. 2, буква „е" от наредбата. </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След приемането на НИД на Наредба № Е-РД-04-1, лицата по чл.139б от ЗЕ ще могат да определят топлинната енергия, отдадена от сградната инсталация за сгради-етажна собственост, в които разпределението на топлинната енергия се извършва чрез индивидуални разпределители и да изготвят индивидуални изравнителни сметки за клиентите.</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p>
    <w:p w:rsidR="00B25778" w:rsidRPr="00B25778" w:rsidRDefault="00B25778" w:rsidP="00B25778">
      <w:pPr>
        <w:numPr>
          <w:ilvl w:val="0"/>
          <w:numId w:val="17"/>
        </w:numPr>
        <w:overflowPunct w:val="0"/>
        <w:autoSpaceDE w:val="0"/>
        <w:autoSpaceDN w:val="0"/>
        <w:adjustRightInd w:val="0"/>
        <w:ind w:left="1276" w:hanging="425"/>
        <w:contextualSpacing/>
        <w:jc w:val="left"/>
        <w:textAlignment w:val="baseline"/>
        <w:rPr>
          <w:rFonts w:ascii="Verdana" w:eastAsia="Calibri" w:hAnsi="Verdana"/>
          <w:b/>
          <w:color w:val="000000" w:themeColor="text1"/>
          <w:lang w:val="bg-BG" w:eastAsia="bg-BG"/>
        </w:rPr>
      </w:pPr>
      <w:bookmarkStart w:id="0" w:name="_GoBack"/>
      <w:bookmarkEnd w:id="0"/>
      <w:r w:rsidRPr="00B25778">
        <w:rPr>
          <w:rFonts w:ascii="Verdana" w:eastAsia="Calibri" w:hAnsi="Verdana"/>
          <w:b/>
          <w:color w:val="000000" w:themeColor="text1"/>
          <w:lang w:val="bg-BG" w:eastAsia="bg-BG"/>
        </w:rPr>
        <w:t>Анализ за съответствие с правото на Европейския съюз:</w:t>
      </w:r>
    </w:p>
    <w:p w:rsidR="00B25778" w:rsidRPr="00B25778" w:rsidRDefault="00B25778" w:rsidP="00B25778">
      <w:pPr>
        <w:overflowPunct w:val="0"/>
        <w:autoSpaceDE w:val="0"/>
        <w:autoSpaceDN w:val="0"/>
        <w:adjustRightInd w:val="0"/>
        <w:ind w:firstLine="851"/>
        <w:textAlignment w:val="baseline"/>
        <w:rPr>
          <w:rFonts w:ascii="Verdana" w:hAnsi="Verdana" w:cs="Segoe UI"/>
          <w:lang w:val="bg-BG" w:eastAsia="bg-BG"/>
        </w:rPr>
      </w:pPr>
      <w:r w:rsidRPr="00B25778">
        <w:rPr>
          <w:rFonts w:ascii="Verdana" w:hAnsi="Verdana" w:cs="Segoe UI"/>
          <w:lang w:val="bg-BG" w:eastAsia="bg-BG"/>
        </w:rPr>
        <w:t>Съгласно чл.1 на Директива (ЕС) 2023/1791 на Европейския парламент и на съвета от 13 септември 2023 г. за енергийната ефективност и за изменение на Регламент (ЕС) 2023/955, публикувана в Официалния вестник на ЕС, брой L 231/1 (Директива (ЕС) 2023/1791) с директивата се установява обща рамка от мерки за насърчаване на енергийната ефективност в Съюза с цел да се гарантира постигането на целите на Съюза в областта на енергийната ефективност и да се даде възможност за допълнителни подобрения на енергийната ефективност. Целта на тази обща рамка е да се допринесе за прилагането на Регламент (ЕС) 2021/1119 на Европейския парламент и на Съвета </w:t>
      </w:r>
      <w:hyperlink r:id="rId8" w:anchor="ntr35-L_2023231BG.01000101-E0035" w:history="1">
        <w:r w:rsidRPr="00B25778">
          <w:rPr>
            <w:rFonts w:ascii="Verdana" w:hAnsi="Verdana" w:cs="Segoe UI"/>
            <w:lang w:val="bg-BG" w:eastAsia="bg-BG"/>
          </w:rPr>
          <w:t>(35)</w:t>
        </w:r>
      </w:hyperlink>
      <w:r w:rsidRPr="00B25778">
        <w:rPr>
          <w:rFonts w:ascii="Verdana" w:hAnsi="Verdana" w:cs="Segoe UI"/>
          <w:lang w:val="bg-BG" w:eastAsia="bg-BG"/>
        </w:rPr>
        <w:t xml:space="preserve"> и за сигурността на енергийните доставки в Съюза чрез намаляване на неговата зависимост от вноса на енергия, включително изкопаеми горива. В директивата се установяват правила, предназначени за приоритетно въвеждане на енергийната ефективност във всички сектори, за отстраняване на пречките в рамките на енергийния пазар и преодоляване на неефективността на пазара, която възпрепятства ефективността на доставките, преноса, съхранението и потреблението на енергия. В нея също така се предвижда въвеждането на индикативни национални приноси за енергийна ефективност съответно за 2030 г.</w:t>
      </w:r>
    </w:p>
    <w:p w:rsidR="00B25778" w:rsidRPr="00B25778" w:rsidRDefault="00B25778" w:rsidP="00B25778">
      <w:pPr>
        <w:overflowPunct w:val="0"/>
        <w:autoSpaceDE w:val="0"/>
        <w:autoSpaceDN w:val="0"/>
        <w:adjustRightInd w:val="0"/>
        <w:ind w:firstLine="851"/>
        <w:textAlignment w:val="baseline"/>
        <w:rPr>
          <w:rFonts w:ascii="Verdana" w:hAnsi="Verdana" w:cs="Segoe UI"/>
          <w:lang w:val="bg-BG" w:eastAsia="bg-BG"/>
        </w:rPr>
      </w:pPr>
      <w:r w:rsidRPr="00B25778">
        <w:rPr>
          <w:rFonts w:ascii="Verdana" w:eastAsia="Calibri" w:hAnsi="Verdana"/>
          <w:lang w:val="bg-BG" w:eastAsia="bg-BG"/>
        </w:rPr>
        <w:t>В член</w:t>
      </w:r>
      <w:r w:rsidRPr="00B25778">
        <w:rPr>
          <w:rFonts w:ascii="Verdana" w:eastAsia="Calibri" w:hAnsi="Verdana"/>
          <w:lang w:val="bg-BG"/>
        </w:rPr>
        <w:t xml:space="preserve"> 15, параграф 3 от</w:t>
      </w:r>
      <w:r w:rsidRPr="00B25778">
        <w:rPr>
          <w:rFonts w:ascii="Verdana" w:hAnsi="Verdana"/>
          <w:lang w:val="bg-BG"/>
        </w:rPr>
        <w:t xml:space="preserve"> Директива (ЕС) 2023/1791 </w:t>
      </w:r>
      <w:r w:rsidRPr="00B25778">
        <w:rPr>
          <w:rFonts w:ascii="Verdana" w:hAnsi="Verdana"/>
          <w:lang w:val="bg-BG" w:eastAsia="bg-BG"/>
        </w:rPr>
        <w:t>е посочено, че в</w:t>
      </w:r>
      <w:r w:rsidRPr="00B25778">
        <w:rPr>
          <w:rFonts w:ascii="Verdana" w:hAnsi="Verdana" w:cs="Segoe UI"/>
          <w:lang w:val="bg-BG" w:eastAsia="bg-BG"/>
        </w:rPr>
        <w:t xml:space="preserve"> </w:t>
      </w:r>
      <w:proofErr w:type="spellStart"/>
      <w:r w:rsidRPr="00B25778">
        <w:rPr>
          <w:rFonts w:ascii="Verdana" w:hAnsi="Verdana" w:cs="Segoe UI"/>
          <w:lang w:val="bg-BG" w:eastAsia="bg-BG"/>
        </w:rPr>
        <w:t>многофамилните</w:t>
      </w:r>
      <w:proofErr w:type="spellEnd"/>
      <w:r w:rsidRPr="00B25778">
        <w:rPr>
          <w:rFonts w:ascii="Verdana" w:hAnsi="Verdana" w:cs="Segoe UI"/>
          <w:lang w:val="bg-BG" w:eastAsia="bg-BG"/>
        </w:rPr>
        <w:t xml:space="preserve"> и многофункционалните сгради с централен източник на топлинна енергия или централен източник на енергия за охлаждане, или снабдявани от централна отоплителна или централна охладителна система, се монтират индивидуални измервателни уреди за измерване на консумацията на топлинна енергия, енергия за охлаждане или топла вода за битови нужди във всяка обособена част от сградата, когато това е технически осъществимо и икономически ефективно от гледна точка на пропорционалността спрямо потенциалните икономии на енергия.</w:t>
      </w:r>
    </w:p>
    <w:p w:rsidR="00B25778" w:rsidRPr="00B25778" w:rsidRDefault="00B25778" w:rsidP="00B25778">
      <w:pPr>
        <w:ind w:firstLine="720"/>
        <w:rPr>
          <w:rFonts w:ascii="Verdana" w:eastAsia="Calibri" w:hAnsi="Verdana"/>
          <w:lang w:val="bg-BG"/>
        </w:rPr>
      </w:pPr>
      <w:r w:rsidRPr="00B25778">
        <w:rPr>
          <w:rFonts w:ascii="Verdana" w:eastAsia="Calibri" w:hAnsi="Verdana"/>
          <w:lang w:val="bg-BG"/>
        </w:rPr>
        <w:t xml:space="preserve">В случаите, при които </w:t>
      </w:r>
      <w:proofErr w:type="spellStart"/>
      <w:r w:rsidRPr="00B25778">
        <w:rPr>
          <w:rFonts w:ascii="Verdana" w:eastAsia="Calibri" w:hAnsi="Verdana"/>
          <w:lang w:val="bg-BG"/>
        </w:rPr>
        <w:t>многофамилни</w:t>
      </w:r>
      <w:proofErr w:type="spellEnd"/>
      <w:r w:rsidRPr="00B25778">
        <w:rPr>
          <w:rFonts w:ascii="Verdana" w:eastAsia="Calibri" w:hAnsi="Verdana"/>
          <w:lang w:val="bg-BG"/>
        </w:rPr>
        <w:t xml:space="preserve"> или многофункционални сгради се снабдяват от централна отоплителна или централна охладителна система, или когато в такива сгради преобладават собствени, общи за сградата отоплителни или охладителни системи, с цел осигуряване на прозрачност и точност на отчитането на индивидуалното потребление държавите членки гарантират, че разполагат с прозрачни, обществено достъпни национални правила за разпределение на разходите за потреблението на топлинна енергия, енергия за охлаждане или топла вода за битови нужди в такива сгради. Когато е целесъобразно, тези правила включват насоки за начина на разпределяне на разходите за енергия, която се използва за:</w:t>
      </w:r>
    </w:p>
    <w:p w:rsidR="00B25778" w:rsidRPr="00B25778" w:rsidRDefault="00B25778" w:rsidP="00B25778">
      <w:pPr>
        <w:ind w:firstLine="720"/>
        <w:rPr>
          <w:rFonts w:ascii="Verdana" w:eastAsia="Calibri" w:hAnsi="Verdana"/>
          <w:lang w:val="bg-BG"/>
        </w:rPr>
      </w:pPr>
      <w:r w:rsidRPr="00B25778">
        <w:rPr>
          <w:rFonts w:ascii="Verdana" w:eastAsia="Calibri" w:hAnsi="Verdana"/>
          <w:lang w:val="bg-BG"/>
        </w:rPr>
        <w:t>a) топла вода за битови нужди;</w:t>
      </w:r>
    </w:p>
    <w:p w:rsidR="00B25778" w:rsidRPr="00B25778" w:rsidRDefault="00B25778" w:rsidP="00B25778">
      <w:pPr>
        <w:ind w:firstLine="720"/>
        <w:rPr>
          <w:rFonts w:ascii="Verdana" w:eastAsia="Calibri" w:hAnsi="Verdana"/>
          <w:lang w:val="bg-BG"/>
        </w:rPr>
      </w:pPr>
      <w:r w:rsidRPr="00B25778">
        <w:rPr>
          <w:rFonts w:ascii="Verdana" w:eastAsia="Calibri" w:hAnsi="Verdana"/>
          <w:lang w:val="bg-BG"/>
        </w:rPr>
        <w:t>б) топлинна енергия, отдавана от сградната инсталация и с цел отопление на общите помещения, когато стълбищата и коридорите са оборудвани с радиатори;</w:t>
      </w:r>
    </w:p>
    <w:p w:rsidR="00B25778" w:rsidRPr="00B25778" w:rsidRDefault="00B25778" w:rsidP="00B25778">
      <w:pPr>
        <w:ind w:firstLine="720"/>
        <w:rPr>
          <w:rFonts w:ascii="Verdana" w:eastAsia="Calibri" w:hAnsi="Verdana"/>
          <w:lang w:val="bg-BG"/>
        </w:rPr>
      </w:pPr>
      <w:r w:rsidRPr="00B25778">
        <w:rPr>
          <w:rFonts w:ascii="Verdana" w:eastAsia="Calibri" w:hAnsi="Verdana"/>
          <w:lang w:val="bg-BG"/>
        </w:rPr>
        <w:t xml:space="preserve">в) отопляване или охлаждане на апартаментите. </w:t>
      </w:r>
    </w:p>
    <w:p w:rsidR="00B25778" w:rsidRPr="00B25778" w:rsidRDefault="00B25778" w:rsidP="00B25778">
      <w:pPr>
        <w:ind w:firstLine="720"/>
        <w:rPr>
          <w:rFonts w:ascii="Verdana" w:eastAsia="Calibri" w:hAnsi="Verdana"/>
          <w:lang w:val="bg-BG"/>
        </w:rPr>
      </w:pPr>
      <w:r w:rsidRPr="00B25778">
        <w:rPr>
          <w:rFonts w:ascii="Verdana" w:eastAsia="Calibri" w:hAnsi="Verdana"/>
          <w:lang w:val="bg-BG"/>
        </w:rPr>
        <w:lastRenderedPageBreak/>
        <w:t xml:space="preserve">Съгласно Директива (ЕС) 2023/1791, за да се постигне прозрачност на отчитането на индивидуалното потребление на топлинна енергия и по този начин да се улесни отчитането на разпределението, държавите членки следва да гарантират наличието на прозрачни, общодостъпни национални правила за дяловото разпределение на разходите за отопление, охлаждане и потребление на топла вода за битови нужди в </w:t>
      </w:r>
      <w:proofErr w:type="spellStart"/>
      <w:r w:rsidRPr="00B25778">
        <w:rPr>
          <w:rFonts w:ascii="Verdana" w:eastAsia="Calibri" w:hAnsi="Verdana"/>
          <w:lang w:val="bg-BG"/>
        </w:rPr>
        <w:t>многофамилните</w:t>
      </w:r>
      <w:proofErr w:type="spellEnd"/>
      <w:r w:rsidRPr="00B25778">
        <w:rPr>
          <w:rFonts w:ascii="Verdana" w:eastAsia="Calibri" w:hAnsi="Verdana"/>
          <w:lang w:val="bg-BG"/>
        </w:rPr>
        <w:t xml:space="preserve"> и многофункционалните сгради.</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Съда на Европейския съюз от 5 декември 2019 г. по съединени дела С</w:t>
      </w:r>
      <w:r w:rsidRPr="00B25778">
        <w:rPr>
          <w:rFonts w:ascii="Cambria Math" w:eastAsia="Calibri" w:hAnsi="Cambria Math" w:cs="Cambria Math"/>
          <w:lang w:val="bg-BG" w:eastAsia="bg-BG"/>
        </w:rPr>
        <w:t>‑</w:t>
      </w:r>
      <w:r w:rsidRPr="00B25778">
        <w:rPr>
          <w:rFonts w:ascii="Verdana" w:eastAsia="Calibri" w:hAnsi="Verdana"/>
          <w:lang w:val="bg-BG" w:eastAsia="bg-BG"/>
        </w:rPr>
        <w:t xml:space="preserve">708/17 </w:t>
      </w:r>
      <w:r w:rsidRPr="00B25778">
        <w:rPr>
          <w:rFonts w:ascii="Verdana" w:eastAsia="Calibri" w:hAnsi="Verdana" w:cs="Verdana"/>
          <w:lang w:val="bg-BG" w:eastAsia="bg-BG"/>
        </w:rPr>
        <w:t>и</w:t>
      </w:r>
      <w:r w:rsidRPr="00B25778">
        <w:rPr>
          <w:rFonts w:ascii="Verdana" w:eastAsia="Calibri" w:hAnsi="Verdana"/>
          <w:lang w:val="bg-BG" w:eastAsia="bg-BG"/>
        </w:rPr>
        <w:t xml:space="preserve"> </w:t>
      </w:r>
      <w:r w:rsidRPr="00B25778">
        <w:rPr>
          <w:rFonts w:ascii="Verdana" w:eastAsia="Calibri" w:hAnsi="Verdana" w:cs="Verdana"/>
          <w:lang w:val="bg-BG" w:eastAsia="bg-BG"/>
        </w:rPr>
        <w:t>С</w:t>
      </w:r>
      <w:r w:rsidRPr="00B25778">
        <w:rPr>
          <w:rFonts w:ascii="Cambria Math" w:eastAsia="Calibri" w:hAnsi="Cambria Math" w:cs="Cambria Math"/>
          <w:lang w:val="bg-BG" w:eastAsia="bg-BG"/>
        </w:rPr>
        <w:t>‑</w:t>
      </w:r>
      <w:r w:rsidRPr="00B25778">
        <w:rPr>
          <w:rFonts w:ascii="Verdana" w:eastAsia="Calibri" w:hAnsi="Verdana"/>
          <w:lang w:val="bg-BG" w:eastAsia="bg-BG"/>
        </w:rPr>
        <w:t xml:space="preserve">725/17 с предмет две </w:t>
      </w:r>
      <w:proofErr w:type="spellStart"/>
      <w:r w:rsidRPr="00B25778">
        <w:rPr>
          <w:rFonts w:ascii="Verdana" w:eastAsia="Calibri" w:hAnsi="Verdana"/>
          <w:lang w:val="bg-BG" w:eastAsia="bg-BG"/>
        </w:rPr>
        <w:t>преюдициални</w:t>
      </w:r>
      <w:proofErr w:type="spellEnd"/>
      <w:r w:rsidRPr="00B25778">
        <w:rPr>
          <w:rFonts w:ascii="Verdana" w:eastAsia="Calibri" w:hAnsi="Verdana"/>
          <w:lang w:val="bg-BG" w:eastAsia="bg-BG"/>
        </w:rPr>
        <w:t xml:space="preserve"> запитвания, отправени на основание член 267 ДФЕС от Районен съд Асеновград (България) (C</w:t>
      </w:r>
      <w:r w:rsidRPr="00B25778">
        <w:rPr>
          <w:rFonts w:ascii="Cambria Math" w:eastAsia="Calibri" w:hAnsi="Cambria Math" w:cs="Cambria Math"/>
          <w:lang w:val="bg-BG" w:eastAsia="bg-BG"/>
        </w:rPr>
        <w:t>‑</w:t>
      </w:r>
      <w:r w:rsidRPr="00B25778">
        <w:rPr>
          <w:rFonts w:ascii="Verdana" w:eastAsia="Calibri" w:hAnsi="Verdana"/>
          <w:lang w:val="bg-BG" w:eastAsia="bg-BG"/>
        </w:rPr>
        <w:t xml:space="preserve">708/17) </w:t>
      </w:r>
      <w:r w:rsidRPr="00B25778">
        <w:rPr>
          <w:rFonts w:ascii="Verdana" w:eastAsia="Calibri" w:hAnsi="Verdana" w:cs="Verdana"/>
          <w:lang w:val="bg-BG" w:eastAsia="bg-BG"/>
        </w:rPr>
        <w:t>и</w:t>
      </w:r>
      <w:r w:rsidRPr="00B25778">
        <w:rPr>
          <w:rFonts w:ascii="Verdana" w:eastAsia="Calibri" w:hAnsi="Verdana"/>
          <w:lang w:val="bg-BG" w:eastAsia="bg-BG"/>
        </w:rPr>
        <w:t xml:space="preserve"> </w:t>
      </w:r>
      <w:r w:rsidRPr="00B25778">
        <w:rPr>
          <w:rFonts w:ascii="Verdana" w:eastAsia="Calibri" w:hAnsi="Verdana" w:cs="Verdana"/>
          <w:lang w:val="bg-BG" w:eastAsia="bg-BG"/>
        </w:rPr>
        <w:t>Софийски</w:t>
      </w:r>
      <w:r w:rsidRPr="00B25778">
        <w:rPr>
          <w:rFonts w:ascii="Verdana" w:eastAsia="Calibri" w:hAnsi="Verdana"/>
          <w:lang w:val="bg-BG" w:eastAsia="bg-BG"/>
        </w:rPr>
        <w:t xml:space="preserve"> </w:t>
      </w:r>
      <w:r w:rsidRPr="00B25778">
        <w:rPr>
          <w:rFonts w:ascii="Verdana" w:eastAsia="Calibri" w:hAnsi="Verdana" w:cs="Verdana"/>
          <w:lang w:val="bg-BG" w:eastAsia="bg-BG"/>
        </w:rPr>
        <w:t>районен</w:t>
      </w:r>
      <w:r w:rsidRPr="00B25778">
        <w:rPr>
          <w:rFonts w:ascii="Verdana" w:eastAsia="Calibri" w:hAnsi="Verdana"/>
          <w:lang w:val="bg-BG" w:eastAsia="bg-BG"/>
        </w:rPr>
        <w:t xml:space="preserve"> </w:t>
      </w:r>
      <w:r w:rsidRPr="00B25778">
        <w:rPr>
          <w:rFonts w:ascii="Verdana" w:eastAsia="Calibri" w:hAnsi="Verdana" w:cs="Verdana"/>
          <w:lang w:val="bg-BG" w:eastAsia="bg-BG"/>
        </w:rPr>
        <w:t>съд</w:t>
      </w:r>
      <w:r w:rsidRPr="00B25778">
        <w:rPr>
          <w:rFonts w:ascii="Verdana" w:eastAsia="Calibri" w:hAnsi="Verdana"/>
          <w:lang w:val="bg-BG" w:eastAsia="bg-BG"/>
        </w:rPr>
        <w:t xml:space="preserve"> (</w:t>
      </w:r>
      <w:r w:rsidRPr="00B25778">
        <w:rPr>
          <w:rFonts w:ascii="Verdana" w:eastAsia="Calibri" w:hAnsi="Verdana" w:cs="Verdana"/>
          <w:lang w:val="bg-BG" w:eastAsia="bg-BG"/>
        </w:rPr>
        <w:t>България</w:t>
      </w:r>
      <w:r w:rsidRPr="00B25778">
        <w:rPr>
          <w:rFonts w:ascii="Verdana" w:eastAsia="Calibri" w:hAnsi="Verdana"/>
          <w:lang w:val="bg-BG" w:eastAsia="bg-BG"/>
        </w:rPr>
        <w:t>) (C</w:t>
      </w:r>
      <w:r w:rsidRPr="00B25778">
        <w:rPr>
          <w:rFonts w:ascii="Cambria Math" w:eastAsia="Calibri" w:hAnsi="Cambria Math" w:cs="Cambria Math"/>
          <w:lang w:val="bg-BG" w:eastAsia="bg-BG"/>
        </w:rPr>
        <w:t>‑</w:t>
      </w:r>
      <w:r w:rsidRPr="00B25778">
        <w:rPr>
          <w:rFonts w:ascii="Verdana" w:eastAsia="Calibri" w:hAnsi="Verdana"/>
          <w:lang w:val="bg-BG" w:eastAsia="bg-BG"/>
        </w:rPr>
        <w:t xml:space="preserve">725/17) </w:t>
      </w:r>
      <w:r w:rsidRPr="00B25778">
        <w:rPr>
          <w:rFonts w:ascii="Verdana" w:eastAsia="Calibri" w:hAnsi="Verdana" w:cs="Verdana"/>
          <w:lang w:val="bg-BG" w:eastAsia="bg-BG"/>
        </w:rPr>
        <w:t>с</w:t>
      </w:r>
      <w:r w:rsidRPr="00B25778">
        <w:rPr>
          <w:rFonts w:ascii="Verdana" w:eastAsia="Calibri" w:hAnsi="Verdana"/>
          <w:lang w:val="bg-BG" w:eastAsia="bg-BG"/>
        </w:rPr>
        <w:t xml:space="preserve"> </w:t>
      </w:r>
      <w:r w:rsidRPr="00B25778">
        <w:rPr>
          <w:rFonts w:ascii="Verdana" w:eastAsia="Calibri" w:hAnsi="Verdana" w:cs="Verdana"/>
          <w:lang w:val="bg-BG" w:eastAsia="bg-BG"/>
        </w:rPr>
        <w:t>актове</w:t>
      </w:r>
      <w:r w:rsidRPr="00B25778">
        <w:rPr>
          <w:rFonts w:ascii="Verdana" w:eastAsia="Calibri" w:hAnsi="Verdana"/>
          <w:lang w:val="bg-BG" w:eastAsia="bg-BG"/>
        </w:rPr>
        <w:t xml:space="preserve"> </w:t>
      </w:r>
      <w:r w:rsidRPr="00B25778">
        <w:rPr>
          <w:rFonts w:ascii="Verdana" w:eastAsia="Calibri" w:hAnsi="Verdana" w:cs="Verdana"/>
          <w:lang w:val="bg-BG" w:eastAsia="bg-BG"/>
        </w:rPr>
        <w:t>съответно</w:t>
      </w:r>
      <w:r w:rsidRPr="00B25778">
        <w:rPr>
          <w:rFonts w:ascii="Verdana" w:eastAsia="Calibri" w:hAnsi="Verdana"/>
          <w:lang w:val="bg-BG" w:eastAsia="bg-BG"/>
        </w:rPr>
        <w:t xml:space="preserve"> </w:t>
      </w:r>
      <w:r w:rsidRPr="00B25778">
        <w:rPr>
          <w:rFonts w:ascii="Verdana" w:eastAsia="Calibri" w:hAnsi="Verdana" w:cs="Verdana"/>
          <w:lang w:val="bg-BG" w:eastAsia="bg-BG"/>
        </w:rPr>
        <w:t>от</w:t>
      </w:r>
      <w:r w:rsidRPr="00B25778">
        <w:rPr>
          <w:rFonts w:ascii="Verdana" w:eastAsia="Calibri" w:hAnsi="Verdana"/>
          <w:lang w:val="bg-BG" w:eastAsia="bg-BG"/>
        </w:rPr>
        <w:t xml:space="preserve"> 6 </w:t>
      </w:r>
      <w:r w:rsidRPr="00B25778">
        <w:rPr>
          <w:rFonts w:ascii="Verdana" w:eastAsia="Calibri" w:hAnsi="Verdana" w:cs="Verdana"/>
          <w:lang w:val="bg-BG" w:eastAsia="bg-BG"/>
        </w:rPr>
        <w:t>декември</w:t>
      </w:r>
      <w:r w:rsidRPr="00B25778">
        <w:rPr>
          <w:rFonts w:ascii="Verdana" w:eastAsia="Calibri" w:hAnsi="Verdana"/>
          <w:lang w:val="bg-BG" w:eastAsia="bg-BG"/>
        </w:rPr>
        <w:t xml:space="preserve"> 2017 </w:t>
      </w:r>
      <w:r w:rsidRPr="00B25778">
        <w:rPr>
          <w:rFonts w:ascii="Verdana" w:eastAsia="Calibri" w:hAnsi="Verdana" w:cs="Verdana"/>
          <w:lang w:val="bg-BG" w:eastAsia="bg-BG"/>
        </w:rPr>
        <w:t>г</w:t>
      </w:r>
      <w:r w:rsidRPr="00B25778">
        <w:rPr>
          <w:rFonts w:ascii="Verdana" w:eastAsia="Calibri" w:hAnsi="Verdana"/>
          <w:lang w:val="bg-BG" w:eastAsia="bg-BG"/>
        </w:rPr>
        <w:t xml:space="preserve">. </w:t>
      </w:r>
      <w:r w:rsidRPr="00B25778">
        <w:rPr>
          <w:rFonts w:ascii="Verdana" w:eastAsia="Calibri" w:hAnsi="Verdana" w:cs="Verdana"/>
          <w:lang w:val="bg-BG" w:eastAsia="bg-BG"/>
        </w:rPr>
        <w:t>и</w:t>
      </w:r>
      <w:r w:rsidRPr="00B25778">
        <w:rPr>
          <w:rFonts w:ascii="Verdana" w:eastAsia="Calibri" w:hAnsi="Verdana"/>
          <w:lang w:val="bg-BG" w:eastAsia="bg-BG"/>
        </w:rPr>
        <w:t xml:space="preserve"> 5 </w:t>
      </w:r>
      <w:r w:rsidRPr="00B25778">
        <w:rPr>
          <w:rFonts w:ascii="Verdana" w:eastAsia="Calibri" w:hAnsi="Verdana" w:cs="Verdana"/>
          <w:lang w:val="bg-BG" w:eastAsia="bg-BG"/>
        </w:rPr>
        <w:t>декември</w:t>
      </w:r>
      <w:r w:rsidRPr="00B25778">
        <w:rPr>
          <w:rFonts w:ascii="Verdana" w:eastAsia="Calibri" w:hAnsi="Verdana"/>
          <w:lang w:val="bg-BG" w:eastAsia="bg-BG"/>
        </w:rPr>
        <w:t xml:space="preserve"> 2017 </w:t>
      </w:r>
      <w:r w:rsidRPr="00B25778">
        <w:rPr>
          <w:rFonts w:ascii="Verdana" w:eastAsia="Calibri" w:hAnsi="Verdana" w:cs="Verdana"/>
          <w:lang w:val="bg-BG" w:eastAsia="bg-BG"/>
        </w:rPr>
        <w:t>г</w:t>
      </w:r>
      <w:r w:rsidRPr="00B25778">
        <w:rPr>
          <w:rFonts w:ascii="Verdana" w:eastAsia="Calibri" w:hAnsi="Verdana"/>
          <w:lang w:val="bg-BG" w:eastAsia="bg-BG"/>
        </w:rPr>
        <w:t>., в рамките на производства по дела „ЕВН България Топлофикация“ ЕАД срещу Н.С.Д.(C</w:t>
      </w:r>
      <w:r w:rsidRPr="00B25778">
        <w:rPr>
          <w:rFonts w:ascii="Cambria Math" w:eastAsia="Calibri" w:hAnsi="Cambria Math" w:cs="Cambria Math"/>
          <w:lang w:val="bg-BG" w:eastAsia="bg-BG"/>
        </w:rPr>
        <w:t>‑</w:t>
      </w:r>
      <w:r w:rsidRPr="00B25778">
        <w:rPr>
          <w:rFonts w:ascii="Verdana" w:eastAsia="Calibri" w:hAnsi="Verdana"/>
          <w:lang w:val="bg-BG" w:eastAsia="bg-BG"/>
        </w:rPr>
        <w:t>708/17) и „Топлофикация София“ ЕАД срещу М.С.Д. (C</w:t>
      </w:r>
      <w:r w:rsidRPr="00B25778">
        <w:rPr>
          <w:rFonts w:ascii="Cambria Math" w:eastAsia="Calibri" w:hAnsi="Cambria Math" w:cs="Cambria Math"/>
          <w:lang w:val="bg-BG" w:eastAsia="bg-BG"/>
        </w:rPr>
        <w:t>‑</w:t>
      </w:r>
      <w:r w:rsidRPr="00B25778">
        <w:rPr>
          <w:rFonts w:ascii="Verdana" w:eastAsia="Calibri" w:hAnsi="Verdana"/>
          <w:lang w:val="bg-BG" w:eastAsia="bg-BG"/>
        </w:rPr>
        <w:t>725/17) постановява следното:</w:t>
      </w:r>
    </w:p>
    <w:p w:rsidR="00B25778" w:rsidRPr="00B25778" w:rsidRDefault="00B25778" w:rsidP="00B25778">
      <w:pPr>
        <w:overflowPunct w:val="0"/>
        <w:autoSpaceDE w:val="0"/>
        <w:autoSpaceDN w:val="0"/>
        <w:adjustRightInd w:val="0"/>
        <w:ind w:firstLine="851"/>
        <w:textAlignment w:val="baseline"/>
        <w:rPr>
          <w:rFonts w:ascii="Verdana" w:eastAsia="Calibri" w:hAnsi="Verdana"/>
          <w:b/>
          <w:lang w:val="bg-BG" w:eastAsia="bg-BG"/>
        </w:rPr>
      </w:pPr>
      <w:r w:rsidRPr="00B25778">
        <w:rPr>
          <w:rFonts w:ascii="Verdana" w:eastAsia="Calibri" w:hAnsi="Verdana"/>
          <w:lang w:val="bg-BG" w:eastAsia="bg-BG"/>
        </w:rPr>
        <w:t xml:space="preserve">1)  Член 27 от Директива 2011/83/ЕС на Европейския парламент и на Съвета от 25 октомври 2011 година относно правата на потребителите, за изменение на Директива 93/13/ЕИО на Съвета и Директива 1999/44/ЕО на Европейския парламент и на Съвета и за отмяна на Директива 85/577/ЕИО на Съвета и Директива 97/7/ЕО на Европейския парламент и на Съвета във връзка с член 5, параграфи 1 и 5 от Директива 2005/29/ЕО на Европейския парламент и на Съвета от 11 май 2005 година относно нелоялни търговски практики от страна на търговци към потребители на вътрешния пазар и изменение на Директива 84/450/ЕИО на Съвета, Директиви 97/7/EО, 98/27/EО и 2002/65/EО на Европейския парламент и на Съвета, и Регламент (EО) № 2006/2004 на Европейския парламент и на Съвета („Директива за нелоялни търговски практики“), трябва да се тълкува в смисъл, че </w:t>
      </w:r>
      <w:r w:rsidRPr="00B25778">
        <w:rPr>
          <w:rFonts w:ascii="Verdana" w:eastAsia="Calibri" w:hAnsi="Verdana"/>
          <w:b/>
          <w:lang w:val="bg-BG" w:eastAsia="bg-BG"/>
        </w:rPr>
        <w:t>допуска национална правна уредба, която предвижда, че собствениците на апартамент в сграда — етажна собственост, присъединена към система за централно отопление, са длъжни да участват в разходите за топлинна енергия за общите части на сградата и за сградната инсталация, въпреки че индивидуално не са поръчвали доставката на отопление и не го използват в своя апартамент.</w:t>
      </w:r>
    </w:p>
    <w:p w:rsidR="00B25778" w:rsidRPr="00B25778" w:rsidRDefault="00B25778" w:rsidP="00B25778">
      <w:pPr>
        <w:overflowPunct w:val="0"/>
        <w:autoSpaceDE w:val="0"/>
        <w:autoSpaceDN w:val="0"/>
        <w:adjustRightInd w:val="0"/>
        <w:ind w:firstLine="851"/>
        <w:textAlignment w:val="baseline"/>
        <w:rPr>
          <w:rFonts w:ascii="Verdana" w:eastAsia="Calibri" w:hAnsi="Verdana"/>
          <w:b/>
          <w:lang w:val="bg-BG" w:eastAsia="bg-BG"/>
        </w:rPr>
      </w:pPr>
      <w:r w:rsidRPr="00B25778">
        <w:rPr>
          <w:rFonts w:ascii="Verdana" w:eastAsia="Calibri" w:hAnsi="Verdana"/>
          <w:lang w:val="bg-BG" w:eastAsia="bg-BG"/>
        </w:rPr>
        <w:t xml:space="preserve">2)  Член 13, параграф 2 от Директива 2006/32/ЕО на Европейския парламент и на Съвета от 5 април 2006 година относно ефективността при крайното потребление на енергия и осъществяване на енергийни услуги и за отмяна на Директива 93/76/ЕИО на Съвета и член 10, параграф 1 от Директива 2012/27/ЕС на Европейския парламент и на Съвета от 25 октомври 2012 година относно енергийната ефективност, за изменение на директиви 2009/125/ЕО и 2010/30/ЕС и за отмяна на директиви 2004/8/ЕО и 2006/32/ЕО, трябва да се тълкуват в смисъл, че допускат национална правна уредба, която предвижда, </w:t>
      </w:r>
      <w:r w:rsidRPr="00B25778">
        <w:rPr>
          <w:rFonts w:ascii="Verdana" w:eastAsia="Calibri" w:hAnsi="Verdana"/>
          <w:b/>
          <w:lang w:val="bg-BG" w:eastAsia="bg-BG"/>
        </w:rPr>
        <w:t>че в сградите в режим на етажна собственост сметките за топлинна енергия за сградната инсталация се изготвят за всеки собственик на апартамент в сградата пропорционално на отопляемия обем на неговия апартамент.</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 xml:space="preserve">В рамките на прилагането на Директива 2012/27/ЕС на Европейския парламент и на Съвета от 25 октомври 2012 година относно енергийната ефективност, за изменение на </w:t>
      </w:r>
      <w:r w:rsidRPr="00B25778">
        <w:rPr>
          <w:rFonts w:ascii="Verdana" w:eastAsia="Calibri" w:hAnsi="Verdana"/>
          <w:lang w:val="bg-BG" w:eastAsia="bg-BG"/>
        </w:rPr>
        <w:lastRenderedPageBreak/>
        <w:t xml:space="preserve">директиви 2009/125/ЕО и 2010/30/ЕС и за отмяна на директиви 2004/8/ЕО и 2006/32/ЕО Съвместният изследователски център към Европейската комисия е изготвил „Анализ на правилата на държавите-членки за разпределяне на разходите за отопление, охлаждане и топла вода в </w:t>
      </w:r>
      <w:proofErr w:type="spellStart"/>
      <w:r w:rsidRPr="00B25778">
        <w:rPr>
          <w:rFonts w:ascii="Verdana" w:eastAsia="Calibri" w:hAnsi="Verdana"/>
          <w:lang w:val="bg-BG" w:eastAsia="bg-BG"/>
        </w:rPr>
        <w:t>многоапартаментни</w:t>
      </w:r>
      <w:proofErr w:type="spellEnd"/>
      <w:r w:rsidRPr="00B25778">
        <w:rPr>
          <w:rFonts w:ascii="Verdana" w:eastAsia="Calibri" w:hAnsi="Verdana"/>
          <w:lang w:val="bg-BG" w:eastAsia="bg-BG"/>
        </w:rPr>
        <w:t xml:space="preserve"> сгради, захранвани от колективни системи“. Анализът  показва, че страните в ЕС са възприели различни модели за изчисление и разпределение на разходите за отопление, като в</w:t>
      </w:r>
      <w:r w:rsidRPr="00B25778">
        <w:rPr>
          <w:rFonts w:ascii="Verdana" w:hAnsi="Verdana"/>
          <w:lang w:val="bg-BG"/>
        </w:rPr>
        <w:t xml:space="preserve"> повечето държави – членки на ЕС се ползват фиксирани проценти за определяне на разходите за отопление и топла вода в </w:t>
      </w:r>
      <w:proofErr w:type="spellStart"/>
      <w:r w:rsidRPr="00B25778">
        <w:rPr>
          <w:rFonts w:ascii="Verdana" w:hAnsi="Verdana"/>
          <w:lang w:val="bg-BG"/>
        </w:rPr>
        <w:t>многофамилните</w:t>
      </w:r>
      <w:proofErr w:type="spellEnd"/>
      <w:r w:rsidRPr="00B25778">
        <w:rPr>
          <w:rFonts w:ascii="Verdana" w:hAnsi="Verdana"/>
          <w:lang w:val="bg-BG"/>
        </w:rPr>
        <w:t xml:space="preserve"> сгради.</w:t>
      </w:r>
      <w:r w:rsidRPr="00B25778">
        <w:t xml:space="preserve"> </w:t>
      </w:r>
      <w:r w:rsidRPr="00B25778">
        <w:rPr>
          <w:rFonts w:ascii="Verdana" w:hAnsi="Verdana"/>
          <w:lang w:val="bg-BG"/>
        </w:rPr>
        <w:t>Обикновено фиксираните разходи, които са независими от поведението на потребителите, се определя в диапазона от 30-50%, но в някои специфични случаи (например някои източни страни) може да бъде по-висока.</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Законодателството в Германия регламентира процента топлинна енергия, отдадена от сградна инсталация в границите от 30% до 50%, а в Австрия – в границите от 15% до 45%, като минималният (15 %) се прилага само в изключителни случаи. В Чехия делът на постоянните разходи е между 40% - 60%</w:t>
      </w:r>
      <w:r w:rsidRPr="00B25778">
        <w:rPr>
          <w:rFonts w:ascii="Verdana" w:eastAsia="Calibri" w:hAnsi="Verdana"/>
          <w:lang w:eastAsia="bg-BG"/>
        </w:rPr>
        <w:t xml:space="preserve">, </w:t>
      </w:r>
      <w:r w:rsidRPr="00B25778">
        <w:rPr>
          <w:rFonts w:ascii="Verdana" w:eastAsia="Calibri" w:hAnsi="Verdana"/>
          <w:lang w:val="bg-BG" w:eastAsia="bg-BG"/>
        </w:rPr>
        <w:t>като по подобен начин е регламентиран делът на сградната инсталация и в Словакия.</w:t>
      </w:r>
    </w:p>
    <w:p w:rsidR="00B25778" w:rsidRPr="00B25778" w:rsidRDefault="00B25778" w:rsidP="00B25778">
      <w:pPr>
        <w:overflowPunct w:val="0"/>
        <w:autoSpaceDE w:val="0"/>
        <w:autoSpaceDN w:val="0"/>
        <w:adjustRightInd w:val="0"/>
        <w:ind w:firstLine="851"/>
        <w:textAlignment w:val="baseline"/>
        <w:rPr>
          <w:rFonts w:ascii="Verdana" w:eastAsia="Calibri" w:hAnsi="Verdana"/>
          <w:lang w:val="bg-BG" w:eastAsia="bg-BG"/>
        </w:rPr>
      </w:pPr>
      <w:r w:rsidRPr="00B25778">
        <w:rPr>
          <w:rFonts w:ascii="Verdana" w:eastAsia="Calibri" w:hAnsi="Verdana"/>
          <w:lang w:val="bg-BG" w:eastAsia="bg-BG"/>
        </w:rPr>
        <w:t>Предложеният проект на НИД на Наредба № Е-РД-04-1 е в съответствие и не нарушава основни принципи от правото на Европейския съюз, касаещи фактурирането на разходи за топлинна енергия и на определянето на количеството на топлинната енергия, която е отдадена от сградната инсталация в сгради – етажна собственост.</w:t>
      </w:r>
    </w:p>
    <w:p w:rsidR="00B25778" w:rsidRPr="00B25778" w:rsidRDefault="00B25778" w:rsidP="00B25778">
      <w:pPr>
        <w:ind w:firstLine="851"/>
        <w:rPr>
          <w:rFonts w:ascii="Verdana" w:hAnsi="Verdana"/>
          <w:sz w:val="4"/>
          <w:szCs w:val="4"/>
          <w:lang w:val="bg-BG"/>
        </w:rPr>
      </w:pPr>
    </w:p>
    <w:p w:rsidR="00B25778" w:rsidRPr="00B25778" w:rsidRDefault="00B25778" w:rsidP="00B25778">
      <w:pPr>
        <w:ind w:firstLine="720"/>
        <w:rPr>
          <w:rFonts w:ascii="Verdana" w:hAnsi="Verdana"/>
          <w:b/>
          <w:lang w:val="bg-BG"/>
        </w:rPr>
      </w:pPr>
    </w:p>
    <w:p w:rsidR="00D00129" w:rsidRDefault="00D00129" w:rsidP="00B25778">
      <w:pPr>
        <w:tabs>
          <w:tab w:val="right" w:pos="9073"/>
        </w:tabs>
        <w:ind w:firstLine="851"/>
        <w:rPr>
          <w:rFonts w:ascii="Verdana" w:hAnsi="Verdana"/>
          <w:lang w:val="bg-BG"/>
        </w:rPr>
      </w:pPr>
    </w:p>
    <w:sectPr w:rsidR="00D00129" w:rsidSect="0053311C">
      <w:footerReference w:type="default" r:id="rId9"/>
      <w:pgSz w:w="11906" w:h="16838"/>
      <w:pgMar w:top="1417" w:right="849" w:bottom="1134" w:left="1134" w:header="708" w:footer="3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494" w:rsidRDefault="00827494" w:rsidP="00282FE9">
      <w:pPr>
        <w:spacing w:line="240" w:lineRule="auto"/>
      </w:pPr>
      <w:r>
        <w:separator/>
      </w:r>
    </w:p>
  </w:endnote>
  <w:endnote w:type="continuationSeparator" w:id="0">
    <w:p w:rsidR="00827494" w:rsidRDefault="00827494" w:rsidP="00282F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FE9" w:rsidRPr="00282FE9" w:rsidRDefault="00282FE9">
    <w:pPr>
      <w:pStyle w:val="Footer"/>
      <w:jc w:val="right"/>
      <w:rPr>
        <w:rFonts w:ascii="Verdana" w:hAnsi="Verdana"/>
        <w:sz w:val="16"/>
        <w:szCs w:val="16"/>
      </w:rPr>
    </w:pPr>
    <w:r w:rsidRPr="00282FE9">
      <w:rPr>
        <w:rFonts w:ascii="Verdana" w:hAnsi="Verdana"/>
        <w:sz w:val="16"/>
        <w:szCs w:val="16"/>
      </w:rPr>
      <w:fldChar w:fldCharType="begin"/>
    </w:r>
    <w:r w:rsidRPr="00282FE9">
      <w:rPr>
        <w:rFonts w:ascii="Verdana" w:hAnsi="Verdana"/>
        <w:sz w:val="16"/>
        <w:szCs w:val="16"/>
      </w:rPr>
      <w:instrText xml:space="preserve"> PAGE   \* MERGEFORMAT </w:instrText>
    </w:r>
    <w:r w:rsidRPr="00282FE9">
      <w:rPr>
        <w:rFonts w:ascii="Verdana" w:hAnsi="Verdana"/>
        <w:sz w:val="16"/>
        <w:szCs w:val="16"/>
      </w:rPr>
      <w:fldChar w:fldCharType="separate"/>
    </w:r>
    <w:r w:rsidR="00B25778">
      <w:rPr>
        <w:rFonts w:ascii="Verdana" w:hAnsi="Verdana"/>
        <w:noProof/>
        <w:sz w:val="16"/>
        <w:szCs w:val="16"/>
      </w:rPr>
      <w:t>3</w:t>
    </w:r>
    <w:r w:rsidRPr="00282FE9">
      <w:rPr>
        <w:rFonts w:ascii="Verdana" w:hAnsi="Verdana"/>
        <w:noProof/>
        <w:sz w:val="16"/>
        <w:szCs w:val="16"/>
      </w:rPr>
      <w:fldChar w:fldCharType="end"/>
    </w:r>
  </w:p>
  <w:p w:rsidR="00282FE9" w:rsidRDefault="00282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494" w:rsidRDefault="00827494" w:rsidP="00282FE9">
      <w:pPr>
        <w:spacing w:line="240" w:lineRule="auto"/>
      </w:pPr>
      <w:r>
        <w:separator/>
      </w:r>
    </w:p>
  </w:footnote>
  <w:footnote w:type="continuationSeparator" w:id="0">
    <w:p w:rsidR="00827494" w:rsidRDefault="00827494" w:rsidP="00282F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4472"/>
    <w:multiLevelType w:val="hybridMultilevel"/>
    <w:tmpl w:val="64E298AC"/>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 w15:restartNumberingAfterBreak="0">
    <w:nsid w:val="1BCA3E1C"/>
    <w:multiLevelType w:val="hybridMultilevel"/>
    <w:tmpl w:val="A4E44D78"/>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 w15:restartNumberingAfterBreak="0">
    <w:nsid w:val="24CF5A99"/>
    <w:multiLevelType w:val="hybridMultilevel"/>
    <w:tmpl w:val="BE64796C"/>
    <w:lvl w:ilvl="0" w:tplc="91980804">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 w15:restartNumberingAfterBreak="0">
    <w:nsid w:val="2683331E"/>
    <w:multiLevelType w:val="hybridMultilevel"/>
    <w:tmpl w:val="596295AA"/>
    <w:lvl w:ilvl="0" w:tplc="148CBB98">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4" w15:restartNumberingAfterBreak="0">
    <w:nsid w:val="285B5727"/>
    <w:multiLevelType w:val="hybridMultilevel"/>
    <w:tmpl w:val="87DA2062"/>
    <w:lvl w:ilvl="0" w:tplc="04020001">
      <w:start w:val="1"/>
      <w:numFmt w:val="bullet"/>
      <w:lvlText w:val=""/>
      <w:lvlJc w:val="left"/>
      <w:pPr>
        <w:ind w:left="1644" w:hanging="360"/>
      </w:pPr>
      <w:rPr>
        <w:rFonts w:ascii="Symbol" w:hAnsi="Symbol" w:hint="default"/>
      </w:rPr>
    </w:lvl>
    <w:lvl w:ilvl="1" w:tplc="04020003" w:tentative="1">
      <w:start w:val="1"/>
      <w:numFmt w:val="bullet"/>
      <w:lvlText w:val="o"/>
      <w:lvlJc w:val="left"/>
      <w:pPr>
        <w:ind w:left="2364" w:hanging="360"/>
      </w:pPr>
      <w:rPr>
        <w:rFonts w:ascii="Courier New" w:hAnsi="Courier New" w:cs="Courier New" w:hint="default"/>
      </w:rPr>
    </w:lvl>
    <w:lvl w:ilvl="2" w:tplc="04020005" w:tentative="1">
      <w:start w:val="1"/>
      <w:numFmt w:val="bullet"/>
      <w:lvlText w:val=""/>
      <w:lvlJc w:val="left"/>
      <w:pPr>
        <w:ind w:left="3084" w:hanging="360"/>
      </w:pPr>
      <w:rPr>
        <w:rFonts w:ascii="Wingdings" w:hAnsi="Wingdings" w:hint="default"/>
      </w:rPr>
    </w:lvl>
    <w:lvl w:ilvl="3" w:tplc="04020001" w:tentative="1">
      <w:start w:val="1"/>
      <w:numFmt w:val="bullet"/>
      <w:lvlText w:val=""/>
      <w:lvlJc w:val="left"/>
      <w:pPr>
        <w:ind w:left="3804" w:hanging="360"/>
      </w:pPr>
      <w:rPr>
        <w:rFonts w:ascii="Symbol" w:hAnsi="Symbol" w:hint="default"/>
      </w:rPr>
    </w:lvl>
    <w:lvl w:ilvl="4" w:tplc="04020003" w:tentative="1">
      <w:start w:val="1"/>
      <w:numFmt w:val="bullet"/>
      <w:lvlText w:val="o"/>
      <w:lvlJc w:val="left"/>
      <w:pPr>
        <w:ind w:left="4524" w:hanging="360"/>
      </w:pPr>
      <w:rPr>
        <w:rFonts w:ascii="Courier New" w:hAnsi="Courier New" w:cs="Courier New" w:hint="default"/>
      </w:rPr>
    </w:lvl>
    <w:lvl w:ilvl="5" w:tplc="04020005" w:tentative="1">
      <w:start w:val="1"/>
      <w:numFmt w:val="bullet"/>
      <w:lvlText w:val=""/>
      <w:lvlJc w:val="left"/>
      <w:pPr>
        <w:ind w:left="5244" w:hanging="360"/>
      </w:pPr>
      <w:rPr>
        <w:rFonts w:ascii="Wingdings" w:hAnsi="Wingdings" w:hint="default"/>
      </w:rPr>
    </w:lvl>
    <w:lvl w:ilvl="6" w:tplc="04020001" w:tentative="1">
      <w:start w:val="1"/>
      <w:numFmt w:val="bullet"/>
      <w:lvlText w:val=""/>
      <w:lvlJc w:val="left"/>
      <w:pPr>
        <w:ind w:left="5964" w:hanging="360"/>
      </w:pPr>
      <w:rPr>
        <w:rFonts w:ascii="Symbol" w:hAnsi="Symbol" w:hint="default"/>
      </w:rPr>
    </w:lvl>
    <w:lvl w:ilvl="7" w:tplc="04020003" w:tentative="1">
      <w:start w:val="1"/>
      <w:numFmt w:val="bullet"/>
      <w:lvlText w:val="o"/>
      <w:lvlJc w:val="left"/>
      <w:pPr>
        <w:ind w:left="6684" w:hanging="360"/>
      </w:pPr>
      <w:rPr>
        <w:rFonts w:ascii="Courier New" w:hAnsi="Courier New" w:cs="Courier New" w:hint="default"/>
      </w:rPr>
    </w:lvl>
    <w:lvl w:ilvl="8" w:tplc="04020005" w:tentative="1">
      <w:start w:val="1"/>
      <w:numFmt w:val="bullet"/>
      <w:lvlText w:val=""/>
      <w:lvlJc w:val="left"/>
      <w:pPr>
        <w:ind w:left="7404" w:hanging="360"/>
      </w:pPr>
      <w:rPr>
        <w:rFonts w:ascii="Wingdings" w:hAnsi="Wingdings" w:hint="default"/>
      </w:rPr>
    </w:lvl>
  </w:abstractNum>
  <w:abstractNum w:abstractNumId="5" w15:restartNumberingAfterBreak="0">
    <w:nsid w:val="293E64C0"/>
    <w:multiLevelType w:val="hybridMultilevel"/>
    <w:tmpl w:val="B9883974"/>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6" w15:restartNumberingAfterBreak="0">
    <w:nsid w:val="2E232D90"/>
    <w:multiLevelType w:val="hybridMultilevel"/>
    <w:tmpl w:val="061A8CE0"/>
    <w:lvl w:ilvl="0" w:tplc="8D5A531E">
      <w:start w:val="2"/>
      <w:numFmt w:val="bullet"/>
      <w:lvlText w:val="-"/>
      <w:lvlJc w:val="left"/>
      <w:pPr>
        <w:ind w:left="1068" w:hanging="360"/>
      </w:pPr>
      <w:rPr>
        <w:rFonts w:ascii="Verdana" w:eastAsia="Times New Roman"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7" w15:restartNumberingAfterBreak="0">
    <w:nsid w:val="34EA240A"/>
    <w:multiLevelType w:val="hybridMultilevel"/>
    <w:tmpl w:val="A49EE426"/>
    <w:lvl w:ilvl="0" w:tplc="93F47A56">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35EB2426"/>
    <w:multiLevelType w:val="hybridMultilevel"/>
    <w:tmpl w:val="52E21D02"/>
    <w:lvl w:ilvl="0" w:tplc="BCFEF0CC">
      <w:start w:val="2"/>
      <w:numFmt w:val="bullet"/>
      <w:lvlText w:val="-"/>
      <w:lvlJc w:val="left"/>
      <w:pPr>
        <w:ind w:left="1080" w:hanging="360"/>
      </w:pPr>
      <w:rPr>
        <w:rFonts w:ascii="Verdana" w:eastAsia="Times New Roman" w:hAnsi="Verdana"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9" w15:restartNumberingAfterBreak="0">
    <w:nsid w:val="43EE3725"/>
    <w:multiLevelType w:val="hybridMultilevel"/>
    <w:tmpl w:val="619ADEB0"/>
    <w:lvl w:ilvl="0" w:tplc="44EA1F1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15:restartNumberingAfterBreak="0">
    <w:nsid w:val="4CE70680"/>
    <w:multiLevelType w:val="hybridMultilevel"/>
    <w:tmpl w:val="67DCD9F4"/>
    <w:lvl w:ilvl="0" w:tplc="47EC9032">
      <w:start w:val="1"/>
      <w:numFmt w:val="decimal"/>
      <w:lvlText w:val="%1."/>
      <w:lvlJc w:val="left"/>
      <w:pPr>
        <w:ind w:left="720" w:hanging="360"/>
      </w:pPr>
      <w:rPr>
        <w:rFonts w:eastAsia="MS Reference Sans Serif" w:hint="default"/>
        <w:i w:val="0"/>
        <w:sz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44178FD"/>
    <w:multiLevelType w:val="hybridMultilevel"/>
    <w:tmpl w:val="B4F24A54"/>
    <w:lvl w:ilvl="0" w:tplc="D9A42A5E">
      <w:start w:val="1"/>
      <w:numFmt w:val="decimal"/>
      <w:lvlText w:val="%1."/>
      <w:lvlJc w:val="left"/>
      <w:pPr>
        <w:ind w:left="360" w:hanging="360"/>
      </w:pPr>
      <w:rPr>
        <w:rFonts w:ascii="Verdana" w:eastAsia="Times New Roman" w:hAnsi="Verdana"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46277C8"/>
    <w:multiLevelType w:val="hybridMultilevel"/>
    <w:tmpl w:val="F23CA050"/>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5861529C"/>
    <w:multiLevelType w:val="hybridMultilevel"/>
    <w:tmpl w:val="486A6E32"/>
    <w:lvl w:ilvl="0" w:tplc="2ED4C82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597D6B1F"/>
    <w:multiLevelType w:val="hybridMultilevel"/>
    <w:tmpl w:val="BE3EFE92"/>
    <w:lvl w:ilvl="0" w:tplc="C0BEB9B6">
      <w:start w:val="1"/>
      <w:numFmt w:val="bullet"/>
      <w:lvlText w:val=""/>
      <w:lvlJc w:val="left"/>
      <w:pPr>
        <w:ind w:left="1080" w:hanging="360"/>
      </w:pPr>
      <w:rPr>
        <w:rFonts w:ascii="Wingdings" w:hAnsi="Wingdings" w:hint="default"/>
        <w:vertAlign w:val="baseline"/>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5" w15:restartNumberingAfterBreak="0">
    <w:nsid w:val="5FCC6C16"/>
    <w:multiLevelType w:val="hybridMultilevel"/>
    <w:tmpl w:val="B47219DA"/>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6" w15:restartNumberingAfterBreak="0">
    <w:nsid w:val="63394FDA"/>
    <w:multiLevelType w:val="hybridMultilevel"/>
    <w:tmpl w:val="6100AEC8"/>
    <w:lvl w:ilvl="0" w:tplc="0402000B">
      <w:start w:val="1"/>
      <w:numFmt w:val="bullet"/>
      <w:lvlText w:val=""/>
      <w:lvlJc w:val="left"/>
      <w:pPr>
        <w:ind w:left="1843" w:hanging="360"/>
      </w:pPr>
      <w:rPr>
        <w:rFonts w:ascii="Wingdings" w:hAnsi="Wingdings" w:hint="default"/>
      </w:rPr>
    </w:lvl>
    <w:lvl w:ilvl="1" w:tplc="04020003" w:tentative="1">
      <w:start w:val="1"/>
      <w:numFmt w:val="bullet"/>
      <w:lvlText w:val="o"/>
      <w:lvlJc w:val="left"/>
      <w:pPr>
        <w:ind w:left="2563" w:hanging="360"/>
      </w:pPr>
      <w:rPr>
        <w:rFonts w:ascii="Courier New" w:hAnsi="Courier New" w:cs="Courier New" w:hint="default"/>
      </w:rPr>
    </w:lvl>
    <w:lvl w:ilvl="2" w:tplc="04020005" w:tentative="1">
      <w:start w:val="1"/>
      <w:numFmt w:val="bullet"/>
      <w:lvlText w:val=""/>
      <w:lvlJc w:val="left"/>
      <w:pPr>
        <w:ind w:left="3283" w:hanging="360"/>
      </w:pPr>
      <w:rPr>
        <w:rFonts w:ascii="Wingdings" w:hAnsi="Wingdings" w:hint="default"/>
      </w:rPr>
    </w:lvl>
    <w:lvl w:ilvl="3" w:tplc="04020001" w:tentative="1">
      <w:start w:val="1"/>
      <w:numFmt w:val="bullet"/>
      <w:lvlText w:val=""/>
      <w:lvlJc w:val="left"/>
      <w:pPr>
        <w:ind w:left="4003" w:hanging="360"/>
      </w:pPr>
      <w:rPr>
        <w:rFonts w:ascii="Symbol" w:hAnsi="Symbol" w:hint="default"/>
      </w:rPr>
    </w:lvl>
    <w:lvl w:ilvl="4" w:tplc="04020003" w:tentative="1">
      <w:start w:val="1"/>
      <w:numFmt w:val="bullet"/>
      <w:lvlText w:val="o"/>
      <w:lvlJc w:val="left"/>
      <w:pPr>
        <w:ind w:left="4723" w:hanging="360"/>
      </w:pPr>
      <w:rPr>
        <w:rFonts w:ascii="Courier New" w:hAnsi="Courier New" w:cs="Courier New" w:hint="default"/>
      </w:rPr>
    </w:lvl>
    <w:lvl w:ilvl="5" w:tplc="04020005" w:tentative="1">
      <w:start w:val="1"/>
      <w:numFmt w:val="bullet"/>
      <w:lvlText w:val=""/>
      <w:lvlJc w:val="left"/>
      <w:pPr>
        <w:ind w:left="5443" w:hanging="360"/>
      </w:pPr>
      <w:rPr>
        <w:rFonts w:ascii="Wingdings" w:hAnsi="Wingdings" w:hint="default"/>
      </w:rPr>
    </w:lvl>
    <w:lvl w:ilvl="6" w:tplc="04020001" w:tentative="1">
      <w:start w:val="1"/>
      <w:numFmt w:val="bullet"/>
      <w:lvlText w:val=""/>
      <w:lvlJc w:val="left"/>
      <w:pPr>
        <w:ind w:left="6163" w:hanging="360"/>
      </w:pPr>
      <w:rPr>
        <w:rFonts w:ascii="Symbol" w:hAnsi="Symbol" w:hint="default"/>
      </w:rPr>
    </w:lvl>
    <w:lvl w:ilvl="7" w:tplc="04020003" w:tentative="1">
      <w:start w:val="1"/>
      <w:numFmt w:val="bullet"/>
      <w:lvlText w:val="o"/>
      <w:lvlJc w:val="left"/>
      <w:pPr>
        <w:ind w:left="6883" w:hanging="360"/>
      </w:pPr>
      <w:rPr>
        <w:rFonts w:ascii="Courier New" w:hAnsi="Courier New" w:cs="Courier New" w:hint="default"/>
      </w:rPr>
    </w:lvl>
    <w:lvl w:ilvl="8" w:tplc="04020005" w:tentative="1">
      <w:start w:val="1"/>
      <w:numFmt w:val="bullet"/>
      <w:lvlText w:val=""/>
      <w:lvlJc w:val="left"/>
      <w:pPr>
        <w:ind w:left="7603" w:hanging="360"/>
      </w:pPr>
      <w:rPr>
        <w:rFonts w:ascii="Wingdings" w:hAnsi="Wingdings" w:hint="default"/>
      </w:rPr>
    </w:lvl>
  </w:abstractNum>
  <w:abstractNum w:abstractNumId="17" w15:restartNumberingAfterBreak="0">
    <w:nsid w:val="646F4E84"/>
    <w:multiLevelType w:val="hybridMultilevel"/>
    <w:tmpl w:val="A8426456"/>
    <w:lvl w:ilvl="0" w:tplc="0402000D">
      <w:start w:val="1"/>
      <w:numFmt w:val="bullet"/>
      <w:lvlText w:val=""/>
      <w:lvlJc w:val="left"/>
      <w:pPr>
        <w:ind w:left="1931" w:hanging="360"/>
      </w:pPr>
      <w:rPr>
        <w:rFonts w:ascii="Wingdings" w:hAnsi="Wingdings" w:hint="default"/>
      </w:rPr>
    </w:lvl>
    <w:lvl w:ilvl="1" w:tplc="04020003" w:tentative="1">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abstractNum w:abstractNumId="18" w15:restartNumberingAfterBreak="0">
    <w:nsid w:val="66C326E6"/>
    <w:multiLevelType w:val="hybridMultilevel"/>
    <w:tmpl w:val="AEE62EBA"/>
    <w:lvl w:ilvl="0" w:tplc="DEAC22E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9" w15:restartNumberingAfterBreak="0">
    <w:nsid w:val="6C27614A"/>
    <w:multiLevelType w:val="hybridMultilevel"/>
    <w:tmpl w:val="4CBE7628"/>
    <w:lvl w:ilvl="0" w:tplc="0402000B">
      <w:start w:val="1"/>
      <w:numFmt w:val="bullet"/>
      <w:lvlText w:val=""/>
      <w:lvlJc w:val="left"/>
      <w:pPr>
        <w:ind w:left="1123" w:hanging="360"/>
      </w:pPr>
      <w:rPr>
        <w:rFonts w:ascii="Wingdings" w:hAnsi="Wingdings" w:hint="default"/>
      </w:rPr>
    </w:lvl>
    <w:lvl w:ilvl="1" w:tplc="04020003" w:tentative="1">
      <w:start w:val="1"/>
      <w:numFmt w:val="bullet"/>
      <w:lvlText w:val="o"/>
      <w:lvlJc w:val="left"/>
      <w:pPr>
        <w:ind w:left="1843" w:hanging="360"/>
      </w:pPr>
      <w:rPr>
        <w:rFonts w:ascii="Courier New" w:hAnsi="Courier New" w:cs="Courier New" w:hint="default"/>
      </w:rPr>
    </w:lvl>
    <w:lvl w:ilvl="2" w:tplc="04020005" w:tentative="1">
      <w:start w:val="1"/>
      <w:numFmt w:val="bullet"/>
      <w:lvlText w:val=""/>
      <w:lvlJc w:val="left"/>
      <w:pPr>
        <w:ind w:left="2563" w:hanging="360"/>
      </w:pPr>
      <w:rPr>
        <w:rFonts w:ascii="Wingdings" w:hAnsi="Wingdings" w:hint="default"/>
      </w:rPr>
    </w:lvl>
    <w:lvl w:ilvl="3" w:tplc="04020001" w:tentative="1">
      <w:start w:val="1"/>
      <w:numFmt w:val="bullet"/>
      <w:lvlText w:val=""/>
      <w:lvlJc w:val="left"/>
      <w:pPr>
        <w:ind w:left="3283" w:hanging="360"/>
      </w:pPr>
      <w:rPr>
        <w:rFonts w:ascii="Symbol" w:hAnsi="Symbol" w:hint="default"/>
      </w:rPr>
    </w:lvl>
    <w:lvl w:ilvl="4" w:tplc="04020003" w:tentative="1">
      <w:start w:val="1"/>
      <w:numFmt w:val="bullet"/>
      <w:lvlText w:val="o"/>
      <w:lvlJc w:val="left"/>
      <w:pPr>
        <w:ind w:left="4003" w:hanging="360"/>
      </w:pPr>
      <w:rPr>
        <w:rFonts w:ascii="Courier New" w:hAnsi="Courier New" w:cs="Courier New" w:hint="default"/>
      </w:rPr>
    </w:lvl>
    <w:lvl w:ilvl="5" w:tplc="04020005" w:tentative="1">
      <w:start w:val="1"/>
      <w:numFmt w:val="bullet"/>
      <w:lvlText w:val=""/>
      <w:lvlJc w:val="left"/>
      <w:pPr>
        <w:ind w:left="4723" w:hanging="360"/>
      </w:pPr>
      <w:rPr>
        <w:rFonts w:ascii="Wingdings" w:hAnsi="Wingdings" w:hint="default"/>
      </w:rPr>
    </w:lvl>
    <w:lvl w:ilvl="6" w:tplc="04020001" w:tentative="1">
      <w:start w:val="1"/>
      <w:numFmt w:val="bullet"/>
      <w:lvlText w:val=""/>
      <w:lvlJc w:val="left"/>
      <w:pPr>
        <w:ind w:left="5443" w:hanging="360"/>
      </w:pPr>
      <w:rPr>
        <w:rFonts w:ascii="Symbol" w:hAnsi="Symbol" w:hint="default"/>
      </w:rPr>
    </w:lvl>
    <w:lvl w:ilvl="7" w:tplc="04020003" w:tentative="1">
      <w:start w:val="1"/>
      <w:numFmt w:val="bullet"/>
      <w:lvlText w:val="o"/>
      <w:lvlJc w:val="left"/>
      <w:pPr>
        <w:ind w:left="6163" w:hanging="360"/>
      </w:pPr>
      <w:rPr>
        <w:rFonts w:ascii="Courier New" w:hAnsi="Courier New" w:cs="Courier New" w:hint="default"/>
      </w:rPr>
    </w:lvl>
    <w:lvl w:ilvl="8" w:tplc="04020005" w:tentative="1">
      <w:start w:val="1"/>
      <w:numFmt w:val="bullet"/>
      <w:lvlText w:val=""/>
      <w:lvlJc w:val="left"/>
      <w:pPr>
        <w:ind w:left="6883" w:hanging="360"/>
      </w:pPr>
      <w:rPr>
        <w:rFonts w:ascii="Wingdings" w:hAnsi="Wingdings" w:hint="default"/>
      </w:rPr>
    </w:lvl>
  </w:abstractNum>
  <w:num w:numId="1">
    <w:abstractNumId w:val="3"/>
  </w:num>
  <w:num w:numId="2">
    <w:abstractNumId w:val="5"/>
  </w:num>
  <w:num w:numId="3">
    <w:abstractNumId w:val="13"/>
  </w:num>
  <w:num w:numId="4">
    <w:abstractNumId w:val="11"/>
  </w:num>
  <w:num w:numId="5">
    <w:abstractNumId w:val="12"/>
  </w:num>
  <w:num w:numId="6">
    <w:abstractNumId w:val="19"/>
  </w:num>
  <w:num w:numId="7">
    <w:abstractNumId w:val="16"/>
  </w:num>
  <w:num w:numId="8">
    <w:abstractNumId w:val="10"/>
  </w:num>
  <w:num w:numId="9">
    <w:abstractNumId w:val="14"/>
  </w:num>
  <w:num w:numId="10">
    <w:abstractNumId w:val="2"/>
  </w:num>
  <w:num w:numId="11">
    <w:abstractNumId w:val="7"/>
  </w:num>
  <w:num w:numId="12">
    <w:abstractNumId w:val="18"/>
  </w:num>
  <w:num w:numId="13">
    <w:abstractNumId w:val="9"/>
  </w:num>
  <w:num w:numId="14">
    <w:abstractNumId w:val="8"/>
  </w:num>
  <w:num w:numId="15">
    <w:abstractNumId w:val="6"/>
  </w:num>
  <w:num w:numId="16">
    <w:abstractNumId w:val="4"/>
  </w:num>
  <w:num w:numId="17">
    <w:abstractNumId w:val="0"/>
  </w:num>
  <w:num w:numId="18">
    <w:abstractNumId w:val="15"/>
  </w:num>
  <w:num w:numId="19">
    <w:abstractNumId w:val="17"/>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2E"/>
    <w:rsid w:val="00000F96"/>
    <w:rsid w:val="00001231"/>
    <w:rsid w:val="00005253"/>
    <w:rsid w:val="00011978"/>
    <w:rsid w:val="000158AA"/>
    <w:rsid w:val="0002223B"/>
    <w:rsid w:val="00024045"/>
    <w:rsid w:val="00025171"/>
    <w:rsid w:val="00027799"/>
    <w:rsid w:val="000315D3"/>
    <w:rsid w:val="0003601F"/>
    <w:rsid w:val="000408CF"/>
    <w:rsid w:val="000415A3"/>
    <w:rsid w:val="00055822"/>
    <w:rsid w:val="00061918"/>
    <w:rsid w:val="000627E7"/>
    <w:rsid w:val="00062EA0"/>
    <w:rsid w:val="000633B1"/>
    <w:rsid w:val="00067CDB"/>
    <w:rsid w:val="00072645"/>
    <w:rsid w:val="000761A9"/>
    <w:rsid w:val="0007659B"/>
    <w:rsid w:val="00076D4A"/>
    <w:rsid w:val="000804F4"/>
    <w:rsid w:val="000817A0"/>
    <w:rsid w:val="0008397C"/>
    <w:rsid w:val="00084869"/>
    <w:rsid w:val="00084CCC"/>
    <w:rsid w:val="0008657A"/>
    <w:rsid w:val="0008757D"/>
    <w:rsid w:val="000905BE"/>
    <w:rsid w:val="000906AC"/>
    <w:rsid w:val="000911EE"/>
    <w:rsid w:val="000915FF"/>
    <w:rsid w:val="00092FAD"/>
    <w:rsid w:val="000952A8"/>
    <w:rsid w:val="000956BB"/>
    <w:rsid w:val="000A0789"/>
    <w:rsid w:val="000A1CF5"/>
    <w:rsid w:val="000A233B"/>
    <w:rsid w:val="000A62FB"/>
    <w:rsid w:val="000A6CAD"/>
    <w:rsid w:val="000B14FF"/>
    <w:rsid w:val="000B4449"/>
    <w:rsid w:val="000B7036"/>
    <w:rsid w:val="000D7C40"/>
    <w:rsid w:val="000E1680"/>
    <w:rsid w:val="000E5C16"/>
    <w:rsid w:val="000E5DD1"/>
    <w:rsid w:val="000F066A"/>
    <w:rsid w:val="000F617F"/>
    <w:rsid w:val="00102C82"/>
    <w:rsid w:val="0010334D"/>
    <w:rsid w:val="00103D48"/>
    <w:rsid w:val="00105316"/>
    <w:rsid w:val="00106CD8"/>
    <w:rsid w:val="00107820"/>
    <w:rsid w:val="0010799C"/>
    <w:rsid w:val="00112DA4"/>
    <w:rsid w:val="00120EE9"/>
    <w:rsid w:val="00125CE3"/>
    <w:rsid w:val="001310B2"/>
    <w:rsid w:val="001349D4"/>
    <w:rsid w:val="00141B0B"/>
    <w:rsid w:val="00151915"/>
    <w:rsid w:val="00154A3F"/>
    <w:rsid w:val="0015530B"/>
    <w:rsid w:val="00155EA6"/>
    <w:rsid w:val="0016172A"/>
    <w:rsid w:val="00165AE9"/>
    <w:rsid w:val="001713A8"/>
    <w:rsid w:val="00174808"/>
    <w:rsid w:val="00174E92"/>
    <w:rsid w:val="00175EA8"/>
    <w:rsid w:val="00176075"/>
    <w:rsid w:val="0017614C"/>
    <w:rsid w:val="00176DB7"/>
    <w:rsid w:val="00177051"/>
    <w:rsid w:val="001846CD"/>
    <w:rsid w:val="00184B46"/>
    <w:rsid w:val="00185C60"/>
    <w:rsid w:val="00196730"/>
    <w:rsid w:val="001A2E0E"/>
    <w:rsid w:val="001A67F0"/>
    <w:rsid w:val="001C1EB1"/>
    <w:rsid w:val="001C2284"/>
    <w:rsid w:val="001D07C3"/>
    <w:rsid w:val="001D2337"/>
    <w:rsid w:val="001D2E82"/>
    <w:rsid w:val="001D393A"/>
    <w:rsid w:val="001D43E6"/>
    <w:rsid w:val="001D59E9"/>
    <w:rsid w:val="001D5DB0"/>
    <w:rsid w:val="001D6392"/>
    <w:rsid w:val="001E1304"/>
    <w:rsid w:val="001E2D73"/>
    <w:rsid w:val="001E4084"/>
    <w:rsid w:val="001E6265"/>
    <w:rsid w:val="001F1FF1"/>
    <w:rsid w:val="001F2FFB"/>
    <w:rsid w:val="001F3F61"/>
    <w:rsid w:val="001F4CBF"/>
    <w:rsid w:val="001F65AE"/>
    <w:rsid w:val="001F7322"/>
    <w:rsid w:val="001F7549"/>
    <w:rsid w:val="0020213F"/>
    <w:rsid w:val="00203618"/>
    <w:rsid w:val="0020739B"/>
    <w:rsid w:val="002132C3"/>
    <w:rsid w:val="00215ABD"/>
    <w:rsid w:val="00215EAD"/>
    <w:rsid w:val="00216702"/>
    <w:rsid w:val="002169AA"/>
    <w:rsid w:val="00221844"/>
    <w:rsid w:val="0022187C"/>
    <w:rsid w:val="002223EF"/>
    <w:rsid w:val="002224D0"/>
    <w:rsid w:val="00225AFF"/>
    <w:rsid w:val="002279FC"/>
    <w:rsid w:val="00230DB1"/>
    <w:rsid w:val="00231C96"/>
    <w:rsid w:val="00234A72"/>
    <w:rsid w:val="00241FB4"/>
    <w:rsid w:val="00242219"/>
    <w:rsid w:val="00245D8A"/>
    <w:rsid w:val="00246619"/>
    <w:rsid w:val="00246CDC"/>
    <w:rsid w:val="0025026B"/>
    <w:rsid w:val="00250432"/>
    <w:rsid w:val="00251342"/>
    <w:rsid w:val="0025661B"/>
    <w:rsid w:val="0027478B"/>
    <w:rsid w:val="00282FE9"/>
    <w:rsid w:val="002847E3"/>
    <w:rsid w:val="0029371B"/>
    <w:rsid w:val="00296CE9"/>
    <w:rsid w:val="002978A0"/>
    <w:rsid w:val="002A115A"/>
    <w:rsid w:val="002A490F"/>
    <w:rsid w:val="002A5231"/>
    <w:rsid w:val="002A53C5"/>
    <w:rsid w:val="002A6202"/>
    <w:rsid w:val="002B2FFB"/>
    <w:rsid w:val="002B466A"/>
    <w:rsid w:val="002B5F31"/>
    <w:rsid w:val="002B6D10"/>
    <w:rsid w:val="002C2960"/>
    <w:rsid w:val="002C4568"/>
    <w:rsid w:val="002C59B0"/>
    <w:rsid w:val="002D32E2"/>
    <w:rsid w:val="002D35F3"/>
    <w:rsid w:val="002E1BE7"/>
    <w:rsid w:val="002F548D"/>
    <w:rsid w:val="002F70F7"/>
    <w:rsid w:val="002F7EF9"/>
    <w:rsid w:val="00300E34"/>
    <w:rsid w:val="00301A41"/>
    <w:rsid w:val="00301DE7"/>
    <w:rsid w:val="00304869"/>
    <w:rsid w:val="00305A12"/>
    <w:rsid w:val="00311161"/>
    <w:rsid w:val="00315549"/>
    <w:rsid w:val="00317136"/>
    <w:rsid w:val="00324BCB"/>
    <w:rsid w:val="00327E8F"/>
    <w:rsid w:val="00330D13"/>
    <w:rsid w:val="00330FBB"/>
    <w:rsid w:val="00331011"/>
    <w:rsid w:val="00332547"/>
    <w:rsid w:val="00333A66"/>
    <w:rsid w:val="0033578F"/>
    <w:rsid w:val="0033614E"/>
    <w:rsid w:val="00336643"/>
    <w:rsid w:val="00340BA4"/>
    <w:rsid w:val="00341D8D"/>
    <w:rsid w:val="00341F7D"/>
    <w:rsid w:val="0034356E"/>
    <w:rsid w:val="003465D2"/>
    <w:rsid w:val="00350DD4"/>
    <w:rsid w:val="00353920"/>
    <w:rsid w:val="00355191"/>
    <w:rsid w:val="0035582E"/>
    <w:rsid w:val="0036086B"/>
    <w:rsid w:val="003652D4"/>
    <w:rsid w:val="00366A02"/>
    <w:rsid w:val="00373F60"/>
    <w:rsid w:val="00375DE0"/>
    <w:rsid w:val="003764D5"/>
    <w:rsid w:val="00377FF2"/>
    <w:rsid w:val="00386737"/>
    <w:rsid w:val="0039092A"/>
    <w:rsid w:val="00393DD7"/>
    <w:rsid w:val="00395945"/>
    <w:rsid w:val="0039634D"/>
    <w:rsid w:val="00396757"/>
    <w:rsid w:val="003A12A7"/>
    <w:rsid w:val="003A132D"/>
    <w:rsid w:val="003A4A7A"/>
    <w:rsid w:val="003A5C69"/>
    <w:rsid w:val="003B130A"/>
    <w:rsid w:val="003B2477"/>
    <w:rsid w:val="003B4688"/>
    <w:rsid w:val="003C16DB"/>
    <w:rsid w:val="003C248B"/>
    <w:rsid w:val="003C2D6C"/>
    <w:rsid w:val="003C5EA7"/>
    <w:rsid w:val="003C786E"/>
    <w:rsid w:val="003C7EC4"/>
    <w:rsid w:val="003C7F4A"/>
    <w:rsid w:val="003D2583"/>
    <w:rsid w:val="003D6947"/>
    <w:rsid w:val="003E090D"/>
    <w:rsid w:val="003E1E7A"/>
    <w:rsid w:val="003E3551"/>
    <w:rsid w:val="003E3B0F"/>
    <w:rsid w:val="003E496B"/>
    <w:rsid w:val="003F10A6"/>
    <w:rsid w:val="003F494E"/>
    <w:rsid w:val="003F5D7D"/>
    <w:rsid w:val="003F7DBF"/>
    <w:rsid w:val="004039EF"/>
    <w:rsid w:val="00404D8B"/>
    <w:rsid w:val="00414972"/>
    <w:rsid w:val="00414DB5"/>
    <w:rsid w:val="0041678C"/>
    <w:rsid w:val="00417488"/>
    <w:rsid w:val="004272EA"/>
    <w:rsid w:val="00442B7E"/>
    <w:rsid w:val="00446193"/>
    <w:rsid w:val="004463E3"/>
    <w:rsid w:val="004532F1"/>
    <w:rsid w:val="00453F79"/>
    <w:rsid w:val="00454204"/>
    <w:rsid w:val="00460E92"/>
    <w:rsid w:val="00462C5D"/>
    <w:rsid w:val="00462DE2"/>
    <w:rsid w:val="00462FAC"/>
    <w:rsid w:val="004636D2"/>
    <w:rsid w:val="00464C68"/>
    <w:rsid w:val="0046617D"/>
    <w:rsid w:val="004811B6"/>
    <w:rsid w:val="004821ED"/>
    <w:rsid w:val="00483897"/>
    <w:rsid w:val="00493D72"/>
    <w:rsid w:val="004A01CA"/>
    <w:rsid w:val="004A271C"/>
    <w:rsid w:val="004B5A2E"/>
    <w:rsid w:val="004C1535"/>
    <w:rsid w:val="004C34CC"/>
    <w:rsid w:val="004C535D"/>
    <w:rsid w:val="004C7A10"/>
    <w:rsid w:val="004E1FC9"/>
    <w:rsid w:val="004E3327"/>
    <w:rsid w:val="004E35B1"/>
    <w:rsid w:val="004E3E25"/>
    <w:rsid w:val="004E5D66"/>
    <w:rsid w:val="004E6353"/>
    <w:rsid w:val="004F06BE"/>
    <w:rsid w:val="004F0F34"/>
    <w:rsid w:val="004F2DF0"/>
    <w:rsid w:val="004F3CC0"/>
    <w:rsid w:val="004F43B8"/>
    <w:rsid w:val="004F48B5"/>
    <w:rsid w:val="004F609C"/>
    <w:rsid w:val="00502DBF"/>
    <w:rsid w:val="005045FE"/>
    <w:rsid w:val="00504A79"/>
    <w:rsid w:val="00511AE0"/>
    <w:rsid w:val="00515384"/>
    <w:rsid w:val="0051779C"/>
    <w:rsid w:val="00524B6C"/>
    <w:rsid w:val="00530400"/>
    <w:rsid w:val="0053311C"/>
    <w:rsid w:val="00533F90"/>
    <w:rsid w:val="00534BA4"/>
    <w:rsid w:val="00535030"/>
    <w:rsid w:val="00536931"/>
    <w:rsid w:val="00540897"/>
    <w:rsid w:val="00542E92"/>
    <w:rsid w:val="0054421B"/>
    <w:rsid w:val="00550EF6"/>
    <w:rsid w:val="00551553"/>
    <w:rsid w:val="00554EAF"/>
    <w:rsid w:val="00561DFA"/>
    <w:rsid w:val="00562C2E"/>
    <w:rsid w:val="00564531"/>
    <w:rsid w:val="00565FFB"/>
    <w:rsid w:val="005671E0"/>
    <w:rsid w:val="005701F0"/>
    <w:rsid w:val="00573F9E"/>
    <w:rsid w:val="00574ABB"/>
    <w:rsid w:val="00583A2D"/>
    <w:rsid w:val="00583CAF"/>
    <w:rsid w:val="00584749"/>
    <w:rsid w:val="00585EA1"/>
    <w:rsid w:val="00587FCC"/>
    <w:rsid w:val="00593D46"/>
    <w:rsid w:val="005975C5"/>
    <w:rsid w:val="005A1982"/>
    <w:rsid w:val="005B05ED"/>
    <w:rsid w:val="005B062D"/>
    <w:rsid w:val="005B7072"/>
    <w:rsid w:val="005C1A4D"/>
    <w:rsid w:val="005C1DE5"/>
    <w:rsid w:val="005C68C3"/>
    <w:rsid w:val="005C6E31"/>
    <w:rsid w:val="005D059A"/>
    <w:rsid w:val="005D63D1"/>
    <w:rsid w:val="005D71DF"/>
    <w:rsid w:val="005D7253"/>
    <w:rsid w:val="005D7551"/>
    <w:rsid w:val="005E2051"/>
    <w:rsid w:val="005E5B6F"/>
    <w:rsid w:val="005F2606"/>
    <w:rsid w:val="005F3448"/>
    <w:rsid w:val="005F51A2"/>
    <w:rsid w:val="005F570F"/>
    <w:rsid w:val="005F6C83"/>
    <w:rsid w:val="005F71E4"/>
    <w:rsid w:val="005F7D6C"/>
    <w:rsid w:val="005F7DE0"/>
    <w:rsid w:val="00602F31"/>
    <w:rsid w:val="00603CE6"/>
    <w:rsid w:val="00607C00"/>
    <w:rsid w:val="006105DB"/>
    <w:rsid w:val="006151F3"/>
    <w:rsid w:val="00630C2B"/>
    <w:rsid w:val="006327A3"/>
    <w:rsid w:val="00643535"/>
    <w:rsid w:val="006442ED"/>
    <w:rsid w:val="00647CD9"/>
    <w:rsid w:val="006536C5"/>
    <w:rsid w:val="006550C5"/>
    <w:rsid w:val="006565AA"/>
    <w:rsid w:val="00657118"/>
    <w:rsid w:val="00657600"/>
    <w:rsid w:val="00664D2F"/>
    <w:rsid w:val="0066656D"/>
    <w:rsid w:val="00671D64"/>
    <w:rsid w:val="00672216"/>
    <w:rsid w:val="00673F18"/>
    <w:rsid w:val="00676F8C"/>
    <w:rsid w:val="00694695"/>
    <w:rsid w:val="0069576E"/>
    <w:rsid w:val="006A4021"/>
    <w:rsid w:val="006B44CA"/>
    <w:rsid w:val="006B79A3"/>
    <w:rsid w:val="006C044D"/>
    <w:rsid w:val="006C0E14"/>
    <w:rsid w:val="006C27BF"/>
    <w:rsid w:val="006C50DD"/>
    <w:rsid w:val="006D5DA7"/>
    <w:rsid w:val="006E703D"/>
    <w:rsid w:val="006E7B8D"/>
    <w:rsid w:val="006E7F0B"/>
    <w:rsid w:val="006F4D36"/>
    <w:rsid w:val="006F743E"/>
    <w:rsid w:val="007044F7"/>
    <w:rsid w:val="00704985"/>
    <w:rsid w:val="00712BDF"/>
    <w:rsid w:val="00713087"/>
    <w:rsid w:val="00716218"/>
    <w:rsid w:val="00725C48"/>
    <w:rsid w:val="007332B3"/>
    <w:rsid w:val="00734B92"/>
    <w:rsid w:val="0074331E"/>
    <w:rsid w:val="00745007"/>
    <w:rsid w:val="00745B28"/>
    <w:rsid w:val="007523C2"/>
    <w:rsid w:val="00755462"/>
    <w:rsid w:val="00755844"/>
    <w:rsid w:val="0075612A"/>
    <w:rsid w:val="0076211F"/>
    <w:rsid w:val="00772B73"/>
    <w:rsid w:val="00772D0F"/>
    <w:rsid w:val="00773A74"/>
    <w:rsid w:val="00775AEA"/>
    <w:rsid w:val="0077746B"/>
    <w:rsid w:val="00780935"/>
    <w:rsid w:val="00781EFF"/>
    <w:rsid w:val="007825B5"/>
    <w:rsid w:val="00786918"/>
    <w:rsid w:val="00786D34"/>
    <w:rsid w:val="00787198"/>
    <w:rsid w:val="00792DC2"/>
    <w:rsid w:val="007A5A4D"/>
    <w:rsid w:val="007A758B"/>
    <w:rsid w:val="007B0B25"/>
    <w:rsid w:val="007B36D5"/>
    <w:rsid w:val="007B60A9"/>
    <w:rsid w:val="007B6523"/>
    <w:rsid w:val="007B6CDD"/>
    <w:rsid w:val="007B6D74"/>
    <w:rsid w:val="007B6E88"/>
    <w:rsid w:val="007D02CC"/>
    <w:rsid w:val="007D1077"/>
    <w:rsid w:val="007D6993"/>
    <w:rsid w:val="007E0DD9"/>
    <w:rsid w:val="007F0C2A"/>
    <w:rsid w:val="00802A0E"/>
    <w:rsid w:val="008035D6"/>
    <w:rsid w:val="00803697"/>
    <w:rsid w:val="00812539"/>
    <w:rsid w:val="00812B9E"/>
    <w:rsid w:val="00821641"/>
    <w:rsid w:val="00821676"/>
    <w:rsid w:val="00827494"/>
    <w:rsid w:val="008276B2"/>
    <w:rsid w:val="00831706"/>
    <w:rsid w:val="00832D52"/>
    <w:rsid w:val="00835006"/>
    <w:rsid w:val="0084050F"/>
    <w:rsid w:val="00841FBC"/>
    <w:rsid w:val="00852AEF"/>
    <w:rsid w:val="00852E35"/>
    <w:rsid w:val="008577CC"/>
    <w:rsid w:val="008607D4"/>
    <w:rsid w:val="00862CBA"/>
    <w:rsid w:val="00862E97"/>
    <w:rsid w:val="00867A9B"/>
    <w:rsid w:val="008830CC"/>
    <w:rsid w:val="008912A1"/>
    <w:rsid w:val="0089366A"/>
    <w:rsid w:val="00896454"/>
    <w:rsid w:val="00896BA1"/>
    <w:rsid w:val="00897EA3"/>
    <w:rsid w:val="008A0507"/>
    <w:rsid w:val="008A2A89"/>
    <w:rsid w:val="008A3E47"/>
    <w:rsid w:val="008A5887"/>
    <w:rsid w:val="008A70E7"/>
    <w:rsid w:val="008B1E02"/>
    <w:rsid w:val="008B615E"/>
    <w:rsid w:val="008C78AC"/>
    <w:rsid w:val="008D109D"/>
    <w:rsid w:val="008D5A31"/>
    <w:rsid w:val="008D5D6E"/>
    <w:rsid w:val="008D6D64"/>
    <w:rsid w:val="008D6D6D"/>
    <w:rsid w:val="008E2747"/>
    <w:rsid w:val="008E2B62"/>
    <w:rsid w:val="008E52FF"/>
    <w:rsid w:val="008E5F56"/>
    <w:rsid w:val="008F2C9D"/>
    <w:rsid w:val="008F470D"/>
    <w:rsid w:val="008F5827"/>
    <w:rsid w:val="008F6A62"/>
    <w:rsid w:val="00903017"/>
    <w:rsid w:val="009103B9"/>
    <w:rsid w:val="0091134A"/>
    <w:rsid w:val="00925F3A"/>
    <w:rsid w:val="009261D7"/>
    <w:rsid w:val="00927703"/>
    <w:rsid w:val="009311EE"/>
    <w:rsid w:val="00934884"/>
    <w:rsid w:val="00941E4C"/>
    <w:rsid w:val="00942AA0"/>
    <w:rsid w:val="00942E40"/>
    <w:rsid w:val="0094365E"/>
    <w:rsid w:val="00943796"/>
    <w:rsid w:val="00945798"/>
    <w:rsid w:val="009514B4"/>
    <w:rsid w:val="009522DB"/>
    <w:rsid w:val="00953D44"/>
    <w:rsid w:val="0095459D"/>
    <w:rsid w:val="00957FE3"/>
    <w:rsid w:val="00960D13"/>
    <w:rsid w:val="009720B7"/>
    <w:rsid w:val="00983FD4"/>
    <w:rsid w:val="00983FE4"/>
    <w:rsid w:val="009844B3"/>
    <w:rsid w:val="00986CF1"/>
    <w:rsid w:val="00990786"/>
    <w:rsid w:val="00993746"/>
    <w:rsid w:val="009941EF"/>
    <w:rsid w:val="00996622"/>
    <w:rsid w:val="0099776D"/>
    <w:rsid w:val="009A065F"/>
    <w:rsid w:val="009A3F5E"/>
    <w:rsid w:val="009A789C"/>
    <w:rsid w:val="009B36B0"/>
    <w:rsid w:val="009B73CE"/>
    <w:rsid w:val="009C0E6C"/>
    <w:rsid w:val="009C2CED"/>
    <w:rsid w:val="009C4E0E"/>
    <w:rsid w:val="009C5BC5"/>
    <w:rsid w:val="009D1DC6"/>
    <w:rsid w:val="009D1FAA"/>
    <w:rsid w:val="009D69B3"/>
    <w:rsid w:val="009E04E7"/>
    <w:rsid w:val="009F0F8C"/>
    <w:rsid w:val="009F1000"/>
    <w:rsid w:val="009F29EF"/>
    <w:rsid w:val="009F443F"/>
    <w:rsid w:val="00A06947"/>
    <w:rsid w:val="00A07B68"/>
    <w:rsid w:val="00A127A5"/>
    <w:rsid w:val="00A12B7D"/>
    <w:rsid w:val="00A13E61"/>
    <w:rsid w:val="00A31650"/>
    <w:rsid w:val="00A32D91"/>
    <w:rsid w:val="00A4000E"/>
    <w:rsid w:val="00A4338B"/>
    <w:rsid w:val="00A43F73"/>
    <w:rsid w:val="00A44A4A"/>
    <w:rsid w:val="00A46A68"/>
    <w:rsid w:val="00A50057"/>
    <w:rsid w:val="00A51350"/>
    <w:rsid w:val="00A52423"/>
    <w:rsid w:val="00A55B88"/>
    <w:rsid w:val="00A6096F"/>
    <w:rsid w:val="00A63ECB"/>
    <w:rsid w:val="00A65D37"/>
    <w:rsid w:val="00A67FA8"/>
    <w:rsid w:val="00A81B2D"/>
    <w:rsid w:val="00A8521A"/>
    <w:rsid w:val="00A85267"/>
    <w:rsid w:val="00A85C6D"/>
    <w:rsid w:val="00A85FC6"/>
    <w:rsid w:val="00A9475A"/>
    <w:rsid w:val="00AA2A13"/>
    <w:rsid w:val="00AA3919"/>
    <w:rsid w:val="00AA46B1"/>
    <w:rsid w:val="00AA4AD5"/>
    <w:rsid w:val="00AB4919"/>
    <w:rsid w:val="00AB77C2"/>
    <w:rsid w:val="00AC06E8"/>
    <w:rsid w:val="00AC1258"/>
    <w:rsid w:val="00AC1D62"/>
    <w:rsid w:val="00AC5798"/>
    <w:rsid w:val="00AD13CE"/>
    <w:rsid w:val="00AD1708"/>
    <w:rsid w:val="00AD60D9"/>
    <w:rsid w:val="00AD7BA4"/>
    <w:rsid w:val="00AE0ACA"/>
    <w:rsid w:val="00AE1E34"/>
    <w:rsid w:val="00AE411E"/>
    <w:rsid w:val="00AE4135"/>
    <w:rsid w:val="00AE6084"/>
    <w:rsid w:val="00AF1E15"/>
    <w:rsid w:val="00AF34F5"/>
    <w:rsid w:val="00AF3EB8"/>
    <w:rsid w:val="00B06E27"/>
    <w:rsid w:val="00B072B7"/>
    <w:rsid w:val="00B1028C"/>
    <w:rsid w:val="00B220CF"/>
    <w:rsid w:val="00B24477"/>
    <w:rsid w:val="00B25778"/>
    <w:rsid w:val="00B312FD"/>
    <w:rsid w:val="00B336B0"/>
    <w:rsid w:val="00B348ED"/>
    <w:rsid w:val="00B41232"/>
    <w:rsid w:val="00B43BA5"/>
    <w:rsid w:val="00B45083"/>
    <w:rsid w:val="00B516BB"/>
    <w:rsid w:val="00B623B6"/>
    <w:rsid w:val="00B631C6"/>
    <w:rsid w:val="00B6562E"/>
    <w:rsid w:val="00B673D2"/>
    <w:rsid w:val="00B769E8"/>
    <w:rsid w:val="00B83F12"/>
    <w:rsid w:val="00B8750B"/>
    <w:rsid w:val="00B91792"/>
    <w:rsid w:val="00B9185C"/>
    <w:rsid w:val="00B9326F"/>
    <w:rsid w:val="00B9420C"/>
    <w:rsid w:val="00B96A94"/>
    <w:rsid w:val="00BA5A32"/>
    <w:rsid w:val="00BA640E"/>
    <w:rsid w:val="00BB7901"/>
    <w:rsid w:val="00BC45CE"/>
    <w:rsid w:val="00BD20F6"/>
    <w:rsid w:val="00BD6E4D"/>
    <w:rsid w:val="00BE09BB"/>
    <w:rsid w:val="00BE2A48"/>
    <w:rsid w:val="00BE40F1"/>
    <w:rsid w:val="00BE5A04"/>
    <w:rsid w:val="00BF1E40"/>
    <w:rsid w:val="00BF28DB"/>
    <w:rsid w:val="00BF34D7"/>
    <w:rsid w:val="00BF43A3"/>
    <w:rsid w:val="00BF6044"/>
    <w:rsid w:val="00BF611D"/>
    <w:rsid w:val="00C032B9"/>
    <w:rsid w:val="00C03FC2"/>
    <w:rsid w:val="00C046A3"/>
    <w:rsid w:val="00C10F38"/>
    <w:rsid w:val="00C112C0"/>
    <w:rsid w:val="00C11ED9"/>
    <w:rsid w:val="00C14AE0"/>
    <w:rsid w:val="00C16A7C"/>
    <w:rsid w:val="00C17001"/>
    <w:rsid w:val="00C20504"/>
    <w:rsid w:val="00C20E99"/>
    <w:rsid w:val="00C2415A"/>
    <w:rsid w:val="00C31966"/>
    <w:rsid w:val="00C375E1"/>
    <w:rsid w:val="00C41BE8"/>
    <w:rsid w:val="00C45501"/>
    <w:rsid w:val="00C45B87"/>
    <w:rsid w:val="00C521BC"/>
    <w:rsid w:val="00C52F92"/>
    <w:rsid w:val="00C61F30"/>
    <w:rsid w:val="00C62B63"/>
    <w:rsid w:val="00C64AC1"/>
    <w:rsid w:val="00C72C65"/>
    <w:rsid w:val="00C72FFC"/>
    <w:rsid w:val="00C74393"/>
    <w:rsid w:val="00C754DC"/>
    <w:rsid w:val="00C7696B"/>
    <w:rsid w:val="00C77167"/>
    <w:rsid w:val="00C81454"/>
    <w:rsid w:val="00C8247B"/>
    <w:rsid w:val="00C8342E"/>
    <w:rsid w:val="00C85515"/>
    <w:rsid w:val="00C90AD5"/>
    <w:rsid w:val="00C91034"/>
    <w:rsid w:val="00C930F9"/>
    <w:rsid w:val="00C950E6"/>
    <w:rsid w:val="00CB793F"/>
    <w:rsid w:val="00CC3DB0"/>
    <w:rsid w:val="00CC4909"/>
    <w:rsid w:val="00CD036C"/>
    <w:rsid w:val="00CD22FD"/>
    <w:rsid w:val="00CD3596"/>
    <w:rsid w:val="00CE3253"/>
    <w:rsid w:val="00CE3986"/>
    <w:rsid w:val="00CE3A21"/>
    <w:rsid w:val="00CE60AE"/>
    <w:rsid w:val="00CE6EDB"/>
    <w:rsid w:val="00CF11CA"/>
    <w:rsid w:val="00CF1982"/>
    <w:rsid w:val="00CF2D04"/>
    <w:rsid w:val="00CF5B94"/>
    <w:rsid w:val="00CF6797"/>
    <w:rsid w:val="00CF6EA6"/>
    <w:rsid w:val="00D00129"/>
    <w:rsid w:val="00D00BCA"/>
    <w:rsid w:val="00D0648F"/>
    <w:rsid w:val="00D06B6A"/>
    <w:rsid w:val="00D06F97"/>
    <w:rsid w:val="00D07356"/>
    <w:rsid w:val="00D07368"/>
    <w:rsid w:val="00D07B10"/>
    <w:rsid w:val="00D15CA9"/>
    <w:rsid w:val="00D17D3F"/>
    <w:rsid w:val="00D257B3"/>
    <w:rsid w:val="00D30A2C"/>
    <w:rsid w:val="00D324BC"/>
    <w:rsid w:val="00D33F3D"/>
    <w:rsid w:val="00D34E2F"/>
    <w:rsid w:val="00D37BEC"/>
    <w:rsid w:val="00D42F7E"/>
    <w:rsid w:val="00D44F0B"/>
    <w:rsid w:val="00D45496"/>
    <w:rsid w:val="00D478EC"/>
    <w:rsid w:val="00D523FA"/>
    <w:rsid w:val="00D537EC"/>
    <w:rsid w:val="00D56100"/>
    <w:rsid w:val="00D562AF"/>
    <w:rsid w:val="00D67DDD"/>
    <w:rsid w:val="00D705E3"/>
    <w:rsid w:val="00D71DC5"/>
    <w:rsid w:val="00D75628"/>
    <w:rsid w:val="00D81A00"/>
    <w:rsid w:val="00D82170"/>
    <w:rsid w:val="00D82C48"/>
    <w:rsid w:val="00D83FC2"/>
    <w:rsid w:val="00D84055"/>
    <w:rsid w:val="00D851BB"/>
    <w:rsid w:val="00D860CA"/>
    <w:rsid w:val="00D91C6A"/>
    <w:rsid w:val="00D9475A"/>
    <w:rsid w:val="00D95B89"/>
    <w:rsid w:val="00DA2993"/>
    <w:rsid w:val="00DA4C7B"/>
    <w:rsid w:val="00DA5561"/>
    <w:rsid w:val="00DB52A9"/>
    <w:rsid w:val="00DB6590"/>
    <w:rsid w:val="00DC001C"/>
    <w:rsid w:val="00DC0CA6"/>
    <w:rsid w:val="00DC1F70"/>
    <w:rsid w:val="00DC34D5"/>
    <w:rsid w:val="00DC5FAE"/>
    <w:rsid w:val="00DC6646"/>
    <w:rsid w:val="00DC751C"/>
    <w:rsid w:val="00DD130A"/>
    <w:rsid w:val="00DF0659"/>
    <w:rsid w:val="00DF08B3"/>
    <w:rsid w:val="00DF1476"/>
    <w:rsid w:val="00DF3256"/>
    <w:rsid w:val="00DF432F"/>
    <w:rsid w:val="00DF6D36"/>
    <w:rsid w:val="00DF7D64"/>
    <w:rsid w:val="00E00725"/>
    <w:rsid w:val="00E010AC"/>
    <w:rsid w:val="00E05703"/>
    <w:rsid w:val="00E0681A"/>
    <w:rsid w:val="00E07316"/>
    <w:rsid w:val="00E1218B"/>
    <w:rsid w:val="00E15B96"/>
    <w:rsid w:val="00E16079"/>
    <w:rsid w:val="00E20561"/>
    <w:rsid w:val="00E228C2"/>
    <w:rsid w:val="00E24008"/>
    <w:rsid w:val="00E247F3"/>
    <w:rsid w:val="00E24951"/>
    <w:rsid w:val="00E24A44"/>
    <w:rsid w:val="00E30277"/>
    <w:rsid w:val="00E34068"/>
    <w:rsid w:val="00E372A5"/>
    <w:rsid w:val="00E40CD2"/>
    <w:rsid w:val="00E44357"/>
    <w:rsid w:val="00E443AB"/>
    <w:rsid w:val="00E44A90"/>
    <w:rsid w:val="00E44FE0"/>
    <w:rsid w:val="00E46E0C"/>
    <w:rsid w:val="00E47F7D"/>
    <w:rsid w:val="00E52405"/>
    <w:rsid w:val="00E52FA5"/>
    <w:rsid w:val="00E641A3"/>
    <w:rsid w:val="00E6481F"/>
    <w:rsid w:val="00E64A51"/>
    <w:rsid w:val="00E64B53"/>
    <w:rsid w:val="00E7229F"/>
    <w:rsid w:val="00E7381F"/>
    <w:rsid w:val="00E741C2"/>
    <w:rsid w:val="00E77832"/>
    <w:rsid w:val="00E87D68"/>
    <w:rsid w:val="00E906DF"/>
    <w:rsid w:val="00E9204E"/>
    <w:rsid w:val="00E93143"/>
    <w:rsid w:val="00E9426D"/>
    <w:rsid w:val="00E97A98"/>
    <w:rsid w:val="00EA0A26"/>
    <w:rsid w:val="00EA0D02"/>
    <w:rsid w:val="00EA47E8"/>
    <w:rsid w:val="00EB0AD2"/>
    <w:rsid w:val="00EB23C8"/>
    <w:rsid w:val="00EB7166"/>
    <w:rsid w:val="00EB7BBF"/>
    <w:rsid w:val="00EC0D31"/>
    <w:rsid w:val="00EC1FED"/>
    <w:rsid w:val="00EC3A21"/>
    <w:rsid w:val="00EE237D"/>
    <w:rsid w:val="00EE39ED"/>
    <w:rsid w:val="00EE6B39"/>
    <w:rsid w:val="00EE6B46"/>
    <w:rsid w:val="00EF060E"/>
    <w:rsid w:val="00EF1A21"/>
    <w:rsid w:val="00EF7290"/>
    <w:rsid w:val="00F0022A"/>
    <w:rsid w:val="00F01CB6"/>
    <w:rsid w:val="00F02174"/>
    <w:rsid w:val="00F07496"/>
    <w:rsid w:val="00F12DD5"/>
    <w:rsid w:val="00F13B1D"/>
    <w:rsid w:val="00F15E0C"/>
    <w:rsid w:val="00F1629B"/>
    <w:rsid w:val="00F20A70"/>
    <w:rsid w:val="00F214C1"/>
    <w:rsid w:val="00F22A87"/>
    <w:rsid w:val="00F237A2"/>
    <w:rsid w:val="00F270A3"/>
    <w:rsid w:val="00F32508"/>
    <w:rsid w:val="00F327FB"/>
    <w:rsid w:val="00F32D74"/>
    <w:rsid w:val="00F3300D"/>
    <w:rsid w:val="00F33317"/>
    <w:rsid w:val="00F365A7"/>
    <w:rsid w:val="00F4028B"/>
    <w:rsid w:val="00F411C4"/>
    <w:rsid w:val="00F42030"/>
    <w:rsid w:val="00F42628"/>
    <w:rsid w:val="00F440CA"/>
    <w:rsid w:val="00F4492E"/>
    <w:rsid w:val="00F44B6C"/>
    <w:rsid w:val="00F51265"/>
    <w:rsid w:val="00F53577"/>
    <w:rsid w:val="00F60AC0"/>
    <w:rsid w:val="00F6367B"/>
    <w:rsid w:val="00F63E3E"/>
    <w:rsid w:val="00F65DC4"/>
    <w:rsid w:val="00F66464"/>
    <w:rsid w:val="00F7164A"/>
    <w:rsid w:val="00F72C35"/>
    <w:rsid w:val="00F75225"/>
    <w:rsid w:val="00F814F3"/>
    <w:rsid w:val="00F81A74"/>
    <w:rsid w:val="00F81CED"/>
    <w:rsid w:val="00F869FF"/>
    <w:rsid w:val="00F91C3B"/>
    <w:rsid w:val="00FA23AC"/>
    <w:rsid w:val="00FA5521"/>
    <w:rsid w:val="00FB0558"/>
    <w:rsid w:val="00FB187F"/>
    <w:rsid w:val="00FC0B52"/>
    <w:rsid w:val="00FC1F41"/>
    <w:rsid w:val="00FC4F6B"/>
    <w:rsid w:val="00FD2242"/>
    <w:rsid w:val="00FD342E"/>
    <w:rsid w:val="00FD4701"/>
    <w:rsid w:val="00FD5C4C"/>
    <w:rsid w:val="00FD73E3"/>
    <w:rsid w:val="00FE24D4"/>
    <w:rsid w:val="00FE5216"/>
    <w:rsid w:val="00FF2ED6"/>
    <w:rsid w:val="00FF57A4"/>
    <w:rsid w:val="00FF698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029903"/>
  <w15:chartTrackingRefBased/>
  <w15:docId w15:val="{B2F9A54C-E6A1-4A10-B969-F550BF3CC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92E"/>
    <w:pPr>
      <w:spacing w:line="360" w:lineRule="auto"/>
      <w:ind w:firstLine="709"/>
      <w:jc w:val="both"/>
    </w:pPr>
    <w:rPr>
      <w:rFonts w:ascii="Arial" w:eastAsia="Times New Roman" w:hAnsi="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50EF6"/>
    <w:pPr>
      <w:spacing w:line="240" w:lineRule="auto"/>
    </w:pPr>
    <w:rPr>
      <w:rFonts w:ascii="Tahoma" w:eastAsia="Calibri" w:hAnsi="Tahoma"/>
      <w:sz w:val="16"/>
      <w:szCs w:val="16"/>
      <w:lang w:eastAsia="x-none"/>
    </w:rPr>
  </w:style>
  <w:style w:type="character" w:customStyle="1" w:styleId="BalloonTextChar">
    <w:name w:val="Balloon Text Char"/>
    <w:link w:val="BalloonText"/>
    <w:uiPriority w:val="99"/>
    <w:semiHidden/>
    <w:locked/>
    <w:rsid w:val="00550EF6"/>
    <w:rPr>
      <w:rFonts w:ascii="Tahoma" w:hAnsi="Tahoma" w:cs="Tahoma"/>
      <w:sz w:val="16"/>
      <w:szCs w:val="16"/>
      <w:lang w:val="en-US"/>
    </w:rPr>
  </w:style>
  <w:style w:type="character" w:styleId="Hyperlink">
    <w:name w:val="Hyperlink"/>
    <w:uiPriority w:val="99"/>
    <w:semiHidden/>
    <w:unhideWhenUsed/>
    <w:rsid w:val="00EA0A26"/>
    <w:rPr>
      <w:strike w:val="0"/>
      <w:dstrike w:val="0"/>
      <w:color w:val="2F6198"/>
      <w:u w:val="none"/>
      <w:effect w:val="none"/>
    </w:rPr>
  </w:style>
  <w:style w:type="paragraph" w:styleId="NormalWeb">
    <w:name w:val="Normal (Web)"/>
    <w:basedOn w:val="Normal"/>
    <w:uiPriority w:val="99"/>
    <w:semiHidden/>
    <w:unhideWhenUsed/>
    <w:rsid w:val="00EA0A26"/>
    <w:pPr>
      <w:spacing w:before="100" w:beforeAutospacing="1" w:after="100" w:afterAutospacing="1" w:line="240" w:lineRule="auto"/>
      <w:ind w:firstLine="0"/>
      <w:jc w:val="left"/>
    </w:pPr>
    <w:rPr>
      <w:rFonts w:ascii="Times New Roman" w:hAnsi="Times New Roman"/>
      <w:sz w:val="24"/>
      <w:szCs w:val="24"/>
      <w:lang w:val="bg-BG" w:eastAsia="bg-BG"/>
    </w:rPr>
  </w:style>
  <w:style w:type="character" w:customStyle="1" w:styleId="a">
    <w:name w:val="Основен текст_"/>
    <w:link w:val="1"/>
    <w:rsid w:val="007D6993"/>
    <w:rPr>
      <w:rFonts w:ascii="MS Reference Sans Serif" w:eastAsia="MS Reference Sans Serif" w:hAnsi="MS Reference Sans Serif"/>
      <w:sz w:val="18"/>
      <w:szCs w:val="18"/>
      <w:shd w:val="clear" w:color="auto" w:fill="FFFFFF"/>
    </w:rPr>
  </w:style>
  <w:style w:type="paragraph" w:customStyle="1" w:styleId="1">
    <w:name w:val="Основен текст1"/>
    <w:basedOn w:val="Normal"/>
    <w:link w:val="a"/>
    <w:rsid w:val="007D6993"/>
    <w:pPr>
      <w:shd w:val="clear" w:color="auto" w:fill="FFFFFF"/>
      <w:spacing w:after="300" w:line="0" w:lineRule="atLeast"/>
      <w:ind w:hanging="340"/>
      <w:jc w:val="left"/>
    </w:pPr>
    <w:rPr>
      <w:rFonts w:ascii="MS Reference Sans Serif" w:eastAsia="MS Reference Sans Serif" w:hAnsi="MS Reference Sans Serif"/>
      <w:sz w:val="18"/>
      <w:szCs w:val="18"/>
      <w:lang w:val="x-none" w:eastAsia="x-none"/>
    </w:rPr>
  </w:style>
  <w:style w:type="character" w:customStyle="1" w:styleId="BodyTextChar1">
    <w:name w:val="Body Text Char1"/>
    <w:link w:val="BodyText"/>
    <w:uiPriority w:val="99"/>
    <w:rsid w:val="00EC0D31"/>
    <w:rPr>
      <w:rFonts w:ascii="Times New Roman" w:hAnsi="Times New Roman"/>
      <w:sz w:val="23"/>
      <w:szCs w:val="23"/>
      <w:shd w:val="clear" w:color="auto" w:fill="FFFFFF"/>
    </w:rPr>
  </w:style>
  <w:style w:type="paragraph" w:styleId="BodyText">
    <w:name w:val="Body Text"/>
    <w:basedOn w:val="Normal"/>
    <w:link w:val="BodyTextChar1"/>
    <w:uiPriority w:val="99"/>
    <w:rsid w:val="00EC0D31"/>
    <w:pPr>
      <w:shd w:val="clear" w:color="auto" w:fill="FFFFFF"/>
      <w:spacing w:before="360" w:line="274" w:lineRule="exact"/>
      <w:ind w:firstLine="0"/>
    </w:pPr>
    <w:rPr>
      <w:rFonts w:ascii="Times New Roman" w:eastAsia="Calibri" w:hAnsi="Times New Roman"/>
      <w:sz w:val="23"/>
      <w:szCs w:val="23"/>
      <w:lang w:val="bg-BG" w:eastAsia="bg-BG"/>
    </w:rPr>
  </w:style>
  <w:style w:type="character" w:customStyle="1" w:styleId="BodyTextChar">
    <w:name w:val="Body Text Char"/>
    <w:uiPriority w:val="99"/>
    <w:semiHidden/>
    <w:rsid w:val="00EC0D31"/>
    <w:rPr>
      <w:rFonts w:ascii="Arial" w:eastAsia="Times New Roman" w:hAnsi="Arial"/>
      <w:lang w:val="en-US" w:eastAsia="en-US"/>
    </w:rPr>
  </w:style>
  <w:style w:type="paragraph" w:styleId="BodyTextIndent3">
    <w:name w:val="Body Text Indent 3"/>
    <w:basedOn w:val="Normal"/>
    <w:link w:val="BodyTextIndent3Char"/>
    <w:rsid w:val="004C1535"/>
    <w:pPr>
      <w:spacing w:after="120"/>
      <w:ind w:left="283"/>
    </w:pPr>
    <w:rPr>
      <w:sz w:val="16"/>
      <w:szCs w:val="16"/>
    </w:rPr>
  </w:style>
  <w:style w:type="character" w:customStyle="1" w:styleId="BodyTextIndent3Char">
    <w:name w:val="Body Text Indent 3 Char"/>
    <w:link w:val="BodyTextIndent3"/>
    <w:rsid w:val="004C1535"/>
    <w:rPr>
      <w:rFonts w:ascii="Arial" w:eastAsia="Times New Roman" w:hAnsi="Arial"/>
      <w:sz w:val="16"/>
      <w:szCs w:val="16"/>
      <w:lang w:val="en-US" w:eastAsia="en-US"/>
    </w:rPr>
  </w:style>
  <w:style w:type="paragraph" w:styleId="Header">
    <w:name w:val="header"/>
    <w:basedOn w:val="Normal"/>
    <w:link w:val="HeaderChar"/>
    <w:uiPriority w:val="99"/>
    <w:unhideWhenUsed/>
    <w:rsid w:val="00282FE9"/>
    <w:pPr>
      <w:tabs>
        <w:tab w:val="center" w:pos="4536"/>
        <w:tab w:val="right" w:pos="9072"/>
      </w:tabs>
    </w:pPr>
  </w:style>
  <w:style w:type="character" w:customStyle="1" w:styleId="HeaderChar">
    <w:name w:val="Header Char"/>
    <w:link w:val="Header"/>
    <w:uiPriority w:val="99"/>
    <w:rsid w:val="00282FE9"/>
    <w:rPr>
      <w:rFonts w:ascii="Arial" w:eastAsia="Times New Roman" w:hAnsi="Arial"/>
      <w:lang w:val="en-US" w:eastAsia="en-US"/>
    </w:rPr>
  </w:style>
  <w:style w:type="paragraph" w:styleId="Footer">
    <w:name w:val="footer"/>
    <w:basedOn w:val="Normal"/>
    <w:link w:val="FooterChar"/>
    <w:uiPriority w:val="99"/>
    <w:unhideWhenUsed/>
    <w:rsid w:val="00282FE9"/>
    <w:pPr>
      <w:tabs>
        <w:tab w:val="center" w:pos="4536"/>
        <w:tab w:val="right" w:pos="9072"/>
      </w:tabs>
    </w:pPr>
  </w:style>
  <w:style w:type="character" w:customStyle="1" w:styleId="FooterChar">
    <w:name w:val="Footer Char"/>
    <w:link w:val="Footer"/>
    <w:uiPriority w:val="99"/>
    <w:rsid w:val="00282FE9"/>
    <w:rPr>
      <w:rFonts w:ascii="Arial" w:eastAsia="Times New Roman" w:hAnsi="Arial"/>
      <w:lang w:val="en-US" w:eastAsia="en-US"/>
    </w:rPr>
  </w:style>
  <w:style w:type="character" w:customStyle="1" w:styleId="Heading2Italic">
    <w:name w:val="Heading #2 + Italic"/>
    <w:rsid w:val="00296CE9"/>
    <w:rPr>
      <w:rFonts w:ascii="Times New Roman" w:eastAsia="Times New Roman" w:hAnsi="Times New Roman" w:cs="Times New Roman"/>
      <w:b w:val="0"/>
      <w:bCs w:val="0"/>
      <w:i/>
      <w:iCs/>
      <w:smallCaps w:val="0"/>
      <w:strike w:val="0"/>
      <w:spacing w:val="0"/>
      <w:sz w:val="24"/>
      <w:szCs w:val="24"/>
    </w:rPr>
  </w:style>
  <w:style w:type="character" w:customStyle="1" w:styleId="Bodytext4">
    <w:name w:val="Body text (4)_"/>
    <w:link w:val="Bodytext41"/>
    <w:uiPriority w:val="99"/>
    <w:locked/>
    <w:rsid w:val="00FD73E3"/>
    <w:rPr>
      <w:rFonts w:ascii="Times New Roman" w:hAnsi="Times New Roman"/>
      <w:sz w:val="23"/>
      <w:szCs w:val="23"/>
      <w:shd w:val="clear" w:color="auto" w:fill="FFFFFF"/>
    </w:rPr>
  </w:style>
  <w:style w:type="paragraph" w:customStyle="1" w:styleId="Bodytext41">
    <w:name w:val="Body text (4)1"/>
    <w:basedOn w:val="Normal"/>
    <w:link w:val="Bodytext4"/>
    <w:uiPriority w:val="99"/>
    <w:rsid w:val="00FD73E3"/>
    <w:pPr>
      <w:shd w:val="clear" w:color="auto" w:fill="FFFFFF"/>
      <w:spacing w:before="360" w:line="274" w:lineRule="exact"/>
      <w:ind w:firstLine="0"/>
    </w:pPr>
    <w:rPr>
      <w:rFonts w:ascii="Times New Roman" w:eastAsia="Calibri" w:hAnsi="Times New Roman"/>
      <w:sz w:val="23"/>
      <w:szCs w:val="23"/>
      <w:lang w:val="bg-BG" w:eastAsia="bg-BG"/>
    </w:rPr>
  </w:style>
  <w:style w:type="paragraph" w:styleId="FootnoteText">
    <w:name w:val="footnote text"/>
    <w:basedOn w:val="Normal"/>
    <w:link w:val="FootnoteTextChar"/>
    <w:uiPriority w:val="99"/>
    <w:semiHidden/>
    <w:unhideWhenUsed/>
    <w:rsid w:val="00AC1D62"/>
  </w:style>
  <w:style w:type="character" w:customStyle="1" w:styleId="FootnoteTextChar">
    <w:name w:val="Footnote Text Char"/>
    <w:link w:val="FootnoteText"/>
    <w:uiPriority w:val="99"/>
    <w:semiHidden/>
    <w:rsid w:val="00AC1D62"/>
    <w:rPr>
      <w:rFonts w:ascii="Arial" w:eastAsia="Times New Roman" w:hAnsi="Arial"/>
      <w:lang w:val="en-US" w:eastAsia="en-US"/>
    </w:rPr>
  </w:style>
  <w:style w:type="character" w:styleId="FootnoteReference">
    <w:name w:val="footnote reference"/>
    <w:uiPriority w:val="99"/>
    <w:semiHidden/>
    <w:unhideWhenUsed/>
    <w:rsid w:val="00AC1D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7409141">
      <w:bodyDiv w:val="1"/>
      <w:marLeft w:val="0"/>
      <w:marRight w:val="0"/>
      <w:marTop w:val="0"/>
      <w:marBottom w:val="0"/>
      <w:divBdr>
        <w:top w:val="none" w:sz="0" w:space="0" w:color="auto"/>
        <w:left w:val="none" w:sz="0" w:space="0" w:color="auto"/>
        <w:bottom w:val="none" w:sz="0" w:space="0" w:color="auto"/>
        <w:right w:val="none" w:sz="0" w:space="0" w:color="auto"/>
      </w:divBdr>
      <w:divsChild>
        <w:div w:id="576016095">
          <w:marLeft w:val="0"/>
          <w:marRight w:val="0"/>
          <w:marTop w:val="0"/>
          <w:marBottom w:val="0"/>
          <w:divBdr>
            <w:top w:val="none" w:sz="0" w:space="0" w:color="auto"/>
            <w:left w:val="none" w:sz="0" w:space="0" w:color="auto"/>
            <w:bottom w:val="none" w:sz="0" w:space="0" w:color="auto"/>
            <w:right w:val="none" w:sz="0" w:space="0" w:color="auto"/>
          </w:divBdr>
          <w:divsChild>
            <w:div w:id="1113554480">
              <w:marLeft w:val="263"/>
              <w:marRight w:val="0"/>
              <w:marTop w:val="0"/>
              <w:marBottom w:val="0"/>
              <w:divBdr>
                <w:top w:val="none" w:sz="0" w:space="0" w:color="auto"/>
                <w:left w:val="none" w:sz="0" w:space="0" w:color="auto"/>
                <w:bottom w:val="none" w:sz="0" w:space="0" w:color="auto"/>
                <w:right w:val="none" w:sz="0" w:space="0" w:color="auto"/>
              </w:divBdr>
              <w:divsChild>
                <w:div w:id="1833448493">
                  <w:marLeft w:val="0"/>
                  <w:marRight w:val="0"/>
                  <w:marTop w:val="0"/>
                  <w:marBottom w:val="0"/>
                  <w:divBdr>
                    <w:top w:val="none" w:sz="0" w:space="0" w:color="auto"/>
                    <w:left w:val="none" w:sz="0" w:space="0" w:color="auto"/>
                    <w:bottom w:val="none" w:sz="0" w:space="0" w:color="auto"/>
                    <w:right w:val="none" w:sz="0" w:space="0" w:color="auto"/>
                  </w:divBdr>
                  <w:divsChild>
                    <w:div w:id="638268119">
                      <w:marLeft w:val="0"/>
                      <w:marRight w:val="0"/>
                      <w:marTop w:val="0"/>
                      <w:marBottom w:val="0"/>
                      <w:divBdr>
                        <w:top w:val="none" w:sz="0" w:space="0" w:color="auto"/>
                        <w:left w:val="none" w:sz="0" w:space="0" w:color="auto"/>
                        <w:bottom w:val="none" w:sz="0" w:space="0" w:color="auto"/>
                        <w:right w:val="none" w:sz="0" w:space="0" w:color="auto"/>
                      </w:divBdr>
                      <w:divsChild>
                        <w:div w:id="844635923">
                          <w:marLeft w:val="0"/>
                          <w:marRight w:val="0"/>
                          <w:marTop w:val="0"/>
                          <w:marBottom w:val="0"/>
                          <w:divBdr>
                            <w:top w:val="none" w:sz="0" w:space="0" w:color="auto"/>
                            <w:left w:val="none" w:sz="0" w:space="0" w:color="auto"/>
                            <w:bottom w:val="none" w:sz="0" w:space="0" w:color="auto"/>
                            <w:right w:val="none" w:sz="0" w:space="0" w:color="auto"/>
                          </w:divBdr>
                          <w:divsChild>
                            <w:div w:id="972708027">
                              <w:marLeft w:val="0"/>
                              <w:marRight w:val="0"/>
                              <w:marTop w:val="0"/>
                              <w:marBottom w:val="0"/>
                              <w:divBdr>
                                <w:top w:val="none" w:sz="0" w:space="0" w:color="auto"/>
                                <w:left w:val="none" w:sz="0" w:space="0" w:color="auto"/>
                                <w:bottom w:val="none" w:sz="0" w:space="0" w:color="auto"/>
                                <w:right w:val="none" w:sz="0" w:space="0" w:color="auto"/>
                              </w:divBdr>
                              <w:divsChild>
                                <w:div w:id="16782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784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BG/TXT/?uri=CELEX%3A32023L1791&amp;qid=174048489660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CE3E9-BF93-4A82-8D84-AB03474D4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2304</Words>
  <Characters>13137</Characters>
  <Application>Microsoft Office Word</Application>
  <DocSecurity>0</DocSecurity>
  <Lines>109</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MEET</dc:creator>
  <cp:keywords/>
  <cp:lastModifiedBy>ddoneva</cp:lastModifiedBy>
  <cp:revision>4</cp:revision>
  <cp:lastPrinted>2020-01-13T13:47:00Z</cp:lastPrinted>
  <dcterms:created xsi:type="dcterms:W3CDTF">2025-03-06T14:12:00Z</dcterms:created>
  <dcterms:modified xsi:type="dcterms:W3CDTF">2025-03-07T09:45:00Z</dcterms:modified>
</cp:coreProperties>
</file>