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987" w:rsidRPr="00C6648C" w:rsidRDefault="00C6648C" w:rsidP="00C6648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48C">
        <w:rPr>
          <w:rFonts w:ascii="Times New Roman" w:hAnsi="Times New Roman" w:cs="Times New Roman"/>
          <w:b/>
          <w:sz w:val="24"/>
          <w:szCs w:val="24"/>
        </w:rPr>
        <w:t>МОТИВИ</w:t>
      </w:r>
    </w:p>
    <w:p w:rsidR="00C6648C" w:rsidRPr="00C6648C" w:rsidRDefault="00C6648C" w:rsidP="00C6648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648C" w:rsidRDefault="00C6648C" w:rsidP="009C098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648C">
        <w:rPr>
          <w:rFonts w:ascii="Times New Roman" w:hAnsi="Times New Roman" w:cs="Times New Roman"/>
          <w:b/>
          <w:sz w:val="24"/>
          <w:szCs w:val="24"/>
        </w:rPr>
        <w:t>към</w:t>
      </w:r>
      <w:r w:rsidR="009C0987" w:rsidRPr="00C664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26C5" w:rsidRPr="003B26C5">
        <w:rPr>
          <w:rFonts w:ascii="Times New Roman" w:hAnsi="Times New Roman" w:cs="Times New Roman"/>
          <w:b/>
          <w:sz w:val="24"/>
          <w:szCs w:val="24"/>
        </w:rPr>
        <w:t>проект на Закон за изменение и допълнение на Кодекса на търговското корабоплаване</w:t>
      </w:r>
    </w:p>
    <w:p w:rsidR="00BE6E8E" w:rsidRPr="002A73A9" w:rsidRDefault="00BE6E8E" w:rsidP="00BE6E8E">
      <w:pPr>
        <w:autoSpaceDE w:val="0"/>
        <w:autoSpaceDN w:val="0"/>
        <w:ind w:firstLine="709"/>
        <w:jc w:val="both"/>
      </w:pPr>
      <w:r w:rsidRPr="002A73A9">
        <w:t xml:space="preserve">Законопроектът е изготвен в изпълнение на </w:t>
      </w:r>
      <w:r w:rsidRPr="002A73A9">
        <w:rPr>
          <w:spacing w:val="3"/>
        </w:rPr>
        <w:t xml:space="preserve">мярка № 74 от Плана за действие за 2026 </w:t>
      </w:r>
      <w:r w:rsidRPr="002A73A9">
        <w:rPr>
          <w:spacing w:val="3"/>
          <w:lang w:val="en-US"/>
        </w:rPr>
        <w:t> </w:t>
      </w:r>
      <w:r w:rsidRPr="002A73A9">
        <w:rPr>
          <w:spacing w:val="3"/>
        </w:rPr>
        <w:t>г. с мерките, произтичащи от членството на Република България в Европейския съюз, приет с Решение № 84 на Министерския съвет от 2026 г.</w:t>
      </w:r>
      <w:r>
        <w:rPr>
          <w:spacing w:val="3"/>
        </w:rPr>
        <w:t>, и е</w:t>
      </w:r>
      <w:r w:rsidRPr="00501412">
        <w:rPr>
          <w:spacing w:val="3"/>
        </w:rPr>
        <w:t xml:space="preserve"> </w:t>
      </w:r>
      <w:r>
        <w:rPr>
          <w:spacing w:val="3"/>
        </w:rPr>
        <w:t xml:space="preserve">включен под № </w:t>
      </w:r>
      <w:r>
        <w:rPr>
          <w:rFonts w:eastAsiaTheme="minorHAnsi"/>
        </w:rPr>
        <w:t>4</w:t>
      </w:r>
      <w:r w:rsidRPr="00166D27">
        <w:rPr>
          <w:rFonts w:eastAsiaTheme="minorHAnsi"/>
        </w:rPr>
        <w:t xml:space="preserve"> </w:t>
      </w:r>
      <w:r>
        <w:rPr>
          <w:rFonts w:eastAsiaTheme="minorHAnsi"/>
        </w:rPr>
        <w:t>в</w:t>
      </w:r>
      <w:r w:rsidRPr="00166D27">
        <w:rPr>
          <w:rFonts w:eastAsiaTheme="minorHAnsi"/>
        </w:rPr>
        <w:t xml:space="preserve"> Законодателната програма на Министерския съвет за периода юли – декември 2026 г., приета с Решение </w:t>
      </w:r>
      <w:r>
        <w:rPr>
          <w:rFonts w:eastAsiaTheme="minorHAnsi"/>
        </w:rPr>
        <w:t> </w:t>
      </w:r>
      <w:r w:rsidRPr="00166D27">
        <w:rPr>
          <w:rFonts w:eastAsiaTheme="minorHAnsi"/>
        </w:rPr>
        <w:t>№ 577 на Министерския съвет от 2026 г.</w:t>
      </w:r>
    </w:p>
    <w:p w:rsidR="00BE6E8E" w:rsidRPr="002A73A9" w:rsidRDefault="00BE6E8E" w:rsidP="00BE6E8E">
      <w:pPr>
        <w:ind w:firstLine="709"/>
        <w:jc w:val="both"/>
        <w:rPr>
          <w:color w:val="000000"/>
        </w:rPr>
      </w:pPr>
      <w:r w:rsidRPr="002A73A9">
        <w:t xml:space="preserve">Целите на </w:t>
      </w:r>
      <w:r>
        <w:t>предложеното</w:t>
      </w:r>
      <w:r w:rsidRPr="002A73A9">
        <w:t xml:space="preserve"> изменение и допълнение на Кодекса на търговското корабоплаване (КТК) са насочени към: </w:t>
      </w:r>
      <w:r w:rsidRPr="002A73A9">
        <w:rPr>
          <w:b/>
        </w:rPr>
        <w:t>1)</w:t>
      </w:r>
      <w:r w:rsidRPr="002A73A9">
        <w:t xml:space="preserve"> </w:t>
      </w:r>
      <w:r w:rsidRPr="002A73A9">
        <w:rPr>
          <w:color w:val="000000"/>
        </w:rPr>
        <w:t xml:space="preserve">въвеждане в българското законодателство на изисквания на </w:t>
      </w:r>
      <w:r w:rsidRPr="002A73A9">
        <w:t xml:space="preserve">Директива (ЕС) 2024/3017 на Европейския парламент и на Съвета от 27 ноември 2024  г. за изменение на Директива 2009/18/ЕО на Европейския парламент и на Съвета за определяне на основните принципи, които уреждат разследването на произшествия в областта на морския транспорт и за отмяна на Регламент (ЕС) № 1286/2011 на Комисията (ОВ, L 2024/3017 от 6 декември 2024 г.) (Директива  (ЕС) 2024/3017); </w:t>
      </w:r>
      <w:r w:rsidRPr="002A73A9">
        <w:rPr>
          <w:b/>
        </w:rPr>
        <w:t>2)</w:t>
      </w:r>
      <w:r w:rsidRPr="002A73A9">
        <w:t xml:space="preserve">  осигуряване на пълно съответствие </w:t>
      </w:r>
      <w:r>
        <w:t xml:space="preserve">на закона </w:t>
      </w:r>
      <w:r w:rsidRPr="002A73A9">
        <w:t>с изискванията на Директива (ЕС) 2024/3100 на Европейския парламент и на Съвета от 27 ноември 2024 г. за изменение на Директива  2009/21/ЕО относно спазването на изискванията за държавата на знамето (ОВ, L 2024/3100 от 16 декември 2024 г.) (Директива  (ЕС) 2024/3100)</w:t>
      </w:r>
      <w:r w:rsidRPr="002A73A9">
        <w:rPr>
          <w:color w:val="000000"/>
        </w:rPr>
        <w:t xml:space="preserve">; </w:t>
      </w:r>
      <w:r w:rsidRPr="002A73A9">
        <w:rPr>
          <w:b/>
          <w:color w:val="000000"/>
        </w:rPr>
        <w:t>3)</w:t>
      </w:r>
      <w:r w:rsidRPr="002A73A9">
        <w:rPr>
          <w:color w:val="000000"/>
        </w:rPr>
        <w:t xml:space="preserve"> </w:t>
      </w:r>
      <w:r>
        <w:rPr>
          <w:color w:val="000000"/>
        </w:rPr>
        <w:t xml:space="preserve">повишаване на ефективността на контрола и </w:t>
      </w:r>
      <w:r w:rsidRPr="002A73A9">
        <w:rPr>
          <w:color w:val="000000"/>
        </w:rPr>
        <w:t xml:space="preserve">актуализиране на </w:t>
      </w:r>
      <w:r w:rsidRPr="002A73A9">
        <w:t xml:space="preserve">размерите на глобите и имуществените санкции в глава осемнадесета „Административнонаказателни разпоредби“ в съответствие с изискванията на Закона за въвеждане на еврото в Република България и с оглед </w:t>
      </w:r>
      <w:r w:rsidRPr="002A73A9">
        <w:rPr>
          <w:color w:val="000000"/>
        </w:rPr>
        <w:t xml:space="preserve">на натрупания опит при прилагането им; </w:t>
      </w:r>
      <w:r w:rsidRPr="002A73A9">
        <w:rPr>
          <w:b/>
          <w:color w:val="000000"/>
        </w:rPr>
        <w:t>4)</w:t>
      </w:r>
      <w:r w:rsidRPr="002A73A9">
        <w:rPr>
          <w:color w:val="000000"/>
        </w:rPr>
        <w:t xml:space="preserve"> прецизиране на </w:t>
      </w:r>
      <w:r>
        <w:rPr>
          <w:color w:val="000000"/>
        </w:rPr>
        <w:t>текста на чл. 63, ал. 3</w:t>
      </w:r>
      <w:r w:rsidRPr="002A73A9">
        <w:rPr>
          <w:color w:val="000000"/>
        </w:rPr>
        <w:t xml:space="preserve"> и превалутиране </w:t>
      </w:r>
      <w:r>
        <w:rPr>
          <w:color w:val="000000"/>
        </w:rPr>
        <w:t>в евро на размера на обезщетенията в чл. 177 и чл. 216</w:t>
      </w:r>
      <w:r w:rsidRPr="002A73A9">
        <w:rPr>
          <w:color w:val="000000"/>
        </w:rPr>
        <w:t>.</w:t>
      </w:r>
    </w:p>
    <w:p w:rsidR="00BE6E8E" w:rsidRPr="002A73A9" w:rsidRDefault="00BE6E8E" w:rsidP="00BE6E8E">
      <w:pPr>
        <w:ind w:firstLine="709"/>
        <w:jc w:val="both"/>
      </w:pPr>
      <w:r w:rsidRPr="002A73A9">
        <w:rPr>
          <w:color w:val="000000"/>
        </w:rPr>
        <w:t>В съответствие с посочените цели са обособени</w:t>
      </w:r>
      <w:r>
        <w:rPr>
          <w:color w:val="000000"/>
        </w:rPr>
        <w:t xml:space="preserve"> </w:t>
      </w:r>
      <w:r w:rsidRPr="002A73A9">
        <w:rPr>
          <w:color w:val="000000"/>
        </w:rPr>
        <w:t>четири групи</w:t>
      </w:r>
      <w:r w:rsidRPr="00213188">
        <w:rPr>
          <w:color w:val="000000"/>
        </w:rPr>
        <w:t xml:space="preserve"> </w:t>
      </w:r>
      <w:r w:rsidRPr="002A73A9">
        <w:rPr>
          <w:color w:val="000000"/>
        </w:rPr>
        <w:t>нормативни промени.</w:t>
      </w:r>
      <w:r w:rsidRPr="002A73A9">
        <w:rPr>
          <w:b/>
          <w:color w:val="000000"/>
        </w:rPr>
        <w:t xml:space="preserve"> </w:t>
      </w:r>
      <w:r w:rsidRPr="002A73A9">
        <w:rPr>
          <w:color w:val="000000"/>
        </w:rPr>
        <w:t xml:space="preserve">В първа група са включени </w:t>
      </w:r>
      <w:r>
        <w:rPr>
          <w:color w:val="000000"/>
        </w:rPr>
        <w:t xml:space="preserve">предложените </w:t>
      </w:r>
      <w:r w:rsidRPr="002A73A9">
        <w:rPr>
          <w:color w:val="000000"/>
        </w:rPr>
        <w:t xml:space="preserve">промени във връзка с въвеждане на изисквания на </w:t>
      </w:r>
      <w:r w:rsidRPr="002A73A9">
        <w:t xml:space="preserve">Директива (ЕС) 2024/3017. Това е необходимо, тъй като в закона се съдържат разпоредби, с които са въведени изисквания на </w:t>
      </w:r>
      <w:r>
        <w:t>Д</w:t>
      </w:r>
      <w:r w:rsidRPr="00767EF8">
        <w:t>иректива 2009/18/ЕО на Европейския парламент и на Съвета от 23 април 2009 г</w:t>
      </w:r>
      <w:r>
        <w:t>.</w:t>
      </w:r>
      <w:r w:rsidRPr="00767EF8">
        <w:t xml:space="preserve"> за определяне на основните принципи, които уреждат разследването на произшествия в областта на морския транспорт, и за изменение на Директива 1999/35/ЕО на Съвета и Директива 2002/59/ЕО на Европейския парламент и на Съвета </w:t>
      </w:r>
      <w:r>
        <w:t>(</w:t>
      </w:r>
      <w:r>
        <w:rPr>
          <w:color w:val="000000"/>
          <w:shd w:val="clear" w:color="auto" w:fill="FFFFFF"/>
        </w:rPr>
        <w:t>ОВ L 131, 28.5.2009 г.</w:t>
      </w:r>
      <w:r>
        <w:t xml:space="preserve">) </w:t>
      </w:r>
      <w:r w:rsidRPr="002A73A9">
        <w:t>(Директива 2009/18/ЕО).</w:t>
      </w:r>
    </w:p>
    <w:p w:rsidR="00BE6E8E" w:rsidRPr="002A73A9" w:rsidRDefault="00BE6E8E" w:rsidP="00BE6E8E">
      <w:pPr>
        <w:ind w:firstLine="709"/>
        <w:jc w:val="both"/>
      </w:pPr>
      <w:r w:rsidRPr="002A73A9">
        <w:t>Част от изискванията на Директива 2009/18/ЕО са въведени в чл. 79 от КТК, който регламентира разследването на морски произшествия и инциденти. В останалата си част изискванията на Директива 2009/18/ЕО са въведени в националното законодателство с разпоредби на подзаконови нормативни актове – Наредба № 23 от 24 октомври 2011 г. за докладване и разследване на морски произшествия и инциденти (обн., ДВ, бр. 87 от 2011  г.) (Наредба № 23) и Правилник за дейността, структурата и организацията на Националния борд за разследване на произшествия във въздушния, водния и железопътния транспорт, приет с Постановление № 6 на Министерския съвет от 2020 г. (обн., ДВ, бр. 7 от 2020 г.).</w:t>
      </w:r>
    </w:p>
    <w:p w:rsidR="00BE6E8E" w:rsidRPr="002A73A9" w:rsidRDefault="00BE6E8E" w:rsidP="00BE6E8E">
      <w:pPr>
        <w:ind w:firstLine="709"/>
        <w:jc w:val="both"/>
      </w:pPr>
      <w:r w:rsidRPr="002A73A9">
        <w:rPr>
          <w:color w:val="000000"/>
        </w:rPr>
        <w:t xml:space="preserve">Провеждането на безпристрастни разследвания на безопасността при </w:t>
      </w:r>
      <w:r>
        <w:rPr>
          <w:color w:val="000000"/>
        </w:rPr>
        <w:t xml:space="preserve">морски </w:t>
      </w:r>
      <w:r w:rsidRPr="002A73A9">
        <w:rPr>
          <w:color w:val="000000"/>
        </w:rPr>
        <w:t>произшествия и инциденти е от изключително значение с оглед установяване</w:t>
      </w:r>
      <w:r>
        <w:rPr>
          <w:color w:val="000000"/>
        </w:rPr>
        <w:t>то</w:t>
      </w:r>
      <w:r w:rsidRPr="002A73A9">
        <w:rPr>
          <w:color w:val="000000"/>
        </w:rPr>
        <w:t xml:space="preserve"> на обстоятелствата и причините за </w:t>
      </w:r>
      <w:r>
        <w:rPr>
          <w:color w:val="000000"/>
        </w:rPr>
        <w:t xml:space="preserve">настъпването на </w:t>
      </w:r>
      <w:r w:rsidRPr="002A73A9">
        <w:rPr>
          <w:color w:val="000000"/>
        </w:rPr>
        <w:t>такива произшествия или инциденти.</w:t>
      </w:r>
      <w:r w:rsidRPr="002A73A9">
        <w:t xml:space="preserve"> Съгласно чл. 79, ал. 1 от КТК разследването се извършва от инспектори по разследването - служители в Националния борд за разследване на произшествия във въздушния, водния и железопътния транспорт и има за цел да съдейства за повишаване на безопасността на морския транспорт и за предотвратяване на морски произшествия.</w:t>
      </w:r>
    </w:p>
    <w:p w:rsidR="00BE6E8E" w:rsidRPr="002A73A9" w:rsidRDefault="00BE6E8E" w:rsidP="00BE6E8E">
      <w:pPr>
        <w:ind w:firstLine="709"/>
        <w:jc w:val="both"/>
      </w:pPr>
      <w:r w:rsidRPr="002A73A9">
        <w:lastRenderedPageBreak/>
        <w:t>Директива (ЕС) 2024/3017</w:t>
      </w:r>
      <w:r>
        <w:t xml:space="preserve"> изменя </w:t>
      </w:r>
      <w:r w:rsidRPr="002A73A9">
        <w:t>Директива 2009/18/ЕО</w:t>
      </w:r>
      <w:r>
        <w:t>, като</w:t>
      </w:r>
      <w:r w:rsidRPr="002A73A9">
        <w:t xml:space="preserve"> </w:t>
      </w:r>
      <w:r>
        <w:t xml:space="preserve">цели </w:t>
      </w:r>
      <w:r w:rsidRPr="002A73A9">
        <w:t xml:space="preserve">да осигури: </w:t>
      </w:r>
      <w:r w:rsidRPr="002A73A9">
        <w:rPr>
          <w:b/>
        </w:rPr>
        <w:t>1)</w:t>
      </w:r>
      <w:r w:rsidRPr="002A73A9">
        <w:t xml:space="preserve"> защита на риболовните кораби, техният екипаж и околната среда</w:t>
      </w:r>
      <w:r>
        <w:t>, като</w:t>
      </w:r>
      <w:r w:rsidRPr="002A73A9">
        <w:t xml:space="preserve"> разширява приложното поле на изискванията на Директива 2009/18/ЕО</w:t>
      </w:r>
      <w:r>
        <w:t xml:space="preserve"> във връзка с</w:t>
      </w:r>
      <w:r w:rsidRPr="002A73A9">
        <w:t xml:space="preserve"> въвежда</w:t>
      </w:r>
      <w:r>
        <w:t>не на изискване за</w:t>
      </w:r>
      <w:r w:rsidRPr="002A73A9">
        <w:t xml:space="preserve"> разследване на много тежки морски произшествия на риболовн</w:t>
      </w:r>
      <w:r>
        <w:t>и кораби с дължина под 15 метра</w:t>
      </w:r>
      <w:r w:rsidRPr="002A73A9">
        <w:t xml:space="preserve">; </w:t>
      </w:r>
      <w:r w:rsidRPr="002A73A9">
        <w:rPr>
          <w:b/>
        </w:rPr>
        <w:t>2)</w:t>
      </w:r>
      <w:r w:rsidRPr="002A73A9">
        <w:t xml:space="preserve"> прецизиране на </w:t>
      </w:r>
      <w:r>
        <w:t>терминология</w:t>
      </w:r>
      <w:r w:rsidRPr="002A73A9">
        <w:t xml:space="preserve">, така че органите за разследване на произшествия да </w:t>
      </w:r>
      <w:r>
        <w:t xml:space="preserve">могат да </w:t>
      </w:r>
      <w:r w:rsidRPr="002A73A9">
        <w:t xml:space="preserve">разследват </w:t>
      </w:r>
      <w:r>
        <w:t xml:space="preserve">произшествия </w:t>
      </w:r>
      <w:r w:rsidRPr="002A73A9">
        <w:t xml:space="preserve">своевременно </w:t>
      </w:r>
      <w:r>
        <w:t>и по хармонизиран начин</w:t>
      </w:r>
      <w:r w:rsidRPr="002A73A9">
        <w:t>, за да се гара</w:t>
      </w:r>
      <w:r>
        <w:t>нтира яснота и последователност на разследването</w:t>
      </w:r>
      <w:r w:rsidRPr="002A73A9">
        <w:t xml:space="preserve">; </w:t>
      </w:r>
      <w:r w:rsidRPr="002A73A9">
        <w:rPr>
          <w:b/>
        </w:rPr>
        <w:t>3)</w:t>
      </w:r>
      <w:r w:rsidRPr="002A73A9">
        <w:t xml:space="preserve"> увеличаване на капацитета на органите за разследване на произшествия за навременно </w:t>
      </w:r>
      <w:r>
        <w:t>докладване</w:t>
      </w:r>
      <w:r w:rsidRPr="002A73A9">
        <w:t xml:space="preserve"> по експертен и независим начин; </w:t>
      </w:r>
      <w:r w:rsidRPr="002A73A9">
        <w:rPr>
          <w:b/>
        </w:rPr>
        <w:t>4)</w:t>
      </w:r>
      <w:r w:rsidRPr="002A73A9">
        <w:t xml:space="preserve"> актуализиране на препратки към </w:t>
      </w:r>
      <w:r>
        <w:t>правото</w:t>
      </w:r>
      <w:r w:rsidRPr="002A73A9">
        <w:t xml:space="preserve"> на Европейския съюз и </w:t>
      </w:r>
      <w:r>
        <w:t>изискванията</w:t>
      </w:r>
      <w:r w:rsidRPr="002A73A9">
        <w:t xml:space="preserve"> на Международната морска организация.</w:t>
      </w:r>
    </w:p>
    <w:p w:rsidR="00BE6E8E" w:rsidRPr="002A73A9" w:rsidRDefault="00BE6E8E" w:rsidP="00BE6E8E">
      <w:pPr>
        <w:ind w:firstLine="709"/>
        <w:jc w:val="both"/>
      </w:pPr>
      <w:r w:rsidRPr="002A73A9">
        <w:t xml:space="preserve">С § 4 от проекта се предлагат следните нормативни промени във връзка с въвеждане на изисквания на Директива (ЕС) 2024/3017: </w:t>
      </w:r>
      <w:r w:rsidRPr="002A73A9">
        <w:rPr>
          <w:b/>
        </w:rPr>
        <w:t>1)</w:t>
      </w:r>
      <w:r w:rsidRPr="002A73A9">
        <w:t xml:space="preserve"> отмяна на текста на чл. 79, ал. 4, т. 4, който предвижда, че не се извършва разследване във връзка с безопасността на морски произшествия и инциденти, които засягат риболовни кораби с дължина до 15 метра; </w:t>
      </w:r>
      <w:r w:rsidRPr="002A73A9">
        <w:rPr>
          <w:b/>
        </w:rPr>
        <w:t xml:space="preserve">2) </w:t>
      </w:r>
      <w:r w:rsidRPr="002A73A9">
        <w:t xml:space="preserve">изменение на чл. 79, ал. 5, с което </w:t>
      </w:r>
      <w:r>
        <w:t>се предвижда</w:t>
      </w:r>
      <w:r w:rsidRPr="002A73A9">
        <w:t xml:space="preserve"> разследването на много тежки морски произшествия на риболовни кораби с дължина под 15 метра; </w:t>
      </w:r>
      <w:r w:rsidRPr="002A73A9">
        <w:rPr>
          <w:b/>
        </w:rPr>
        <w:t>3)</w:t>
      </w:r>
      <w:r w:rsidRPr="002A73A9">
        <w:t xml:space="preserve"> допълнение на чл. 79, ал. 9 и ал. 12, във връзка с осигуряване на възможност за използване за целите на разследване</w:t>
      </w:r>
      <w:r>
        <w:t>то на</w:t>
      </w:r>
      <w:r w:rsidRPr="00A04193">
        <w:t xml:space="preserve"> данни от опростено устройство за записва</w:t>
      </w:r>
      <w:r>
        <w:t>не на данните от пътуване (S-VDR) и други документи,</w:t>
      </w:r>
      <w:r w:rsidRPr="002A73A9">
        <w:t xml:space="preserve"> изготвени по време на</w:t>
      </w:r>
      <w:r>
        <w:t xml:space="preserve"> разследването във връзка с безопасността</w:t>
      </w:r>
      <w:r w:rsidRPr="002A73A9">
        <w:t xml:space="preserve">; </w:t>
      </w:r>
      <w:r w:rsidRPr="00767EF8">
        <w:rPr>
          <w:b/>
        </w:rPr>
        <w:t xml:space="preserve">4) </w:t>
      </w:r>
      <w:r w:rsidRPr="002A73A9">
        <w:t xml:space="preserve">прецизиране на чл. 79, ал. </w:t>
      </w:r>
      <w:r>
        <w:t>10</w:t>
      </w:r>
      <w:r w:rsidRPr="002A73A9">
        <w:t xml:space="preserve"> във връзка с публикуването на изготвените доклади за разследване на произшествия на интернет страницата на Националния борд за разследване на произшествия във въздушния, </w:t>
      </w:r>
      <w:r>
        <w:t xml:space="preserve">водния и железопътния транспорт; </w:t>
      </w:r>
      <w:r>
        <w:rPr>
          <w:b/>
        </w:rPr>
        <w:t>5</w:t>
      </w:r>
      <w:r w:rsidRPr="002A73A9">
        <w:rPr>
          <w:b/>
        </w:rPr>
        <w:t xml:space="preserve">) </w:t>
      </w:r>
      <w:r w:rsidRPr="002A73A9">
        <w:t>отмяна на отпадналото от употреба понятие „тежко морско произшествие“ в § 1а, т. 44 от Допълнителните разпоредби.</w:t>
      </w:r>
      <w:r w:rsidRPr="00A04193">
        <w:t xml:space="preserve"> Понятието „тежко морско произшествие“ е използвано в отменения Кодекс за разследване на морски произшествия и инциденти, приет с Резолюция A.849(20) от 27 ноември 1997 г. на Асамблеята на Международната морска организация, но не се употребява в </w:t>
      </w:r>
      <w:r>
        <w:t>действащия</w:t>
      </w:r>
      <w:r w:rsidRPr="00A04193">
        <w:t xml:space="preserve"> Кодекс за разследване на морски произшествия и инциденти, приет с Резолюция MSC.255 (84) от 16 май 2008 г. на Комитета по морска безопасност на Международната морска организация (обн., ДВ, бр. 98 от 2020 г.).</w:t>
      </w:r>
    </w:p>
    <w:p w:rsidR="00BE6E8E" w:rsidRPr="002A73A9" w:rsidRDefault="00BE6E8E" w:rsidP="00BE6E8E">
      <w:pPr>
        <w:ind w:firstLine="709"/>
        <w:jc w:val="both"/>
      </w:pPr>
      <w:r w:rsidRPr="002A73A9">
        <w:rPr>
          <w:color w:val="000000"/>
        </w:rPr>
        <w:t>Във втора група са включени п</w:t>
      </w:r>
      <w:r>
        <w:rPr>
          <w:color w:val="000000"/>
        </w:rPr>
        <w:t>редложените п</w:t>
      </w:r>
      <w:r w:rsidRPr="002A73A9">
        <w:rPr>
          <w:color w:val="000000"/>
        </w:rPr>
        <w:t xml:space="preserve">ромени във връзка с въвеждане на изисквания на </w:t>
      </w:r>
      <w:r w:rsidRPr="002A73A9">
        <w:t>Директива (ЕС) 2024/3100. Това е необходимо, тъй като в закона се съдържат разпоредби, с които са въведени изисквания на Директива 2009/21/ЕО на Европейския парламент и на Съвета от 23 април 2009 г</w:t>
      </w:r>
      <w:r>
        <w:t xml:space="preserve">. </w:t>
      </w:r>
      <w:r w:rsidRPr="002A73A9">
        <w:t>относно спазването на изискванията за държавата на знамето (ОВ L 131, 28.5.2009 г.) (Директива 2009/21/ЕО).</w:t>
      </w:r>
    </w:p>
    <w:p w:rsidR="00BE6E8E" w:rsidRPr="002A73A9" w:rsidRDefault="00BE6E8E" w:rsidP="00BE6E8E">
      <w:pPr>
        <w:ind w:firstLine="709"/>
        <w:jc w:val="both"/>
      </w:pPr>
      <w:r w:rsidRPr="002A73A9">
        <w:t xml:space="preserve">Директива 2009/21/ЕО има две основни цели, а именно да гарантира, че: </w:t>
      </w:r>
      <w:r w:rsidRPr="002A73A9">
        <w:rPr>
          <w:b/>
        </w:rPr>
        <w:t xml:space="preserve">1) </w:t>
      </w:r>
      <w:r w:rsidRPr="002A73A9">
        <w:t xml:space="preserve">корабите, плаващи под знамето на държава - членка на Европейския съюз (ЕС), отговарят на всички изисквания за безопасност </w:t>
      </w:r>
      <w:hyperlink r:id="rId5" w:anchor="footnote5" w:history="1">
        <w:r w:rsidRPr="002A73A9">
          <w:t>на</w:t>
        </w:r>
      </w:hyperlink>
      <w:r w:rsidRPr="002A73A9">
        <w:t xml:space="preserve"> корабоплаването и предотвратяване на замърсяването от кораби и са годни за експлоатация; </w:t>
      </w:r>
      <w:r w:rsidRPr="002A73A9">
        <w:rPr>
          <w:b/>
        </w:rPr>
        <w:t>2)</w:t>
      </w:r>
      <w:r w:rsidRPr="002A73A9">
        <w:t xml:space="preserve"> държавите - членки на ЕС разполагат с подходящи ресурси, за да изпълняват правилно, ефективно и последователно задълженията си като държави на знамето.</w:t>
      </w:r>
    </w:p>
    <w:p w:rsidR="00BE6E8E" w:rsidRPr="002A73A9" w:rsidRDefault="00BE6E8E" w:rsidP="00BE6E8E">
      <w:pPr>
        <w:ind w:firstLine="709"/>
        <w:jc w:val="both"/>
        <w:rPr>
          <w:bCs/>
        </w:rPr>
      </w:pPr>
      <w:r w:rsidRPr="002A73A9">
        <w:t xml:space="preserve">Част от изискванията на Директива 2009/21/ЕО са въведени в КТК, по-специално това са изискванията относно: </w:t>
      </w:r>
      <w:r w:rsidRPr="002A73A9">
        <w:rPr>
          <w:b/>
        </w:rPr>
        <w:t>1)</w:t>
      </w:r>
      <w:r w:rsidRPr="002A73A9">
        <w:t xml:space="preserve"> извършване на контрол на корабите от държавата на знамето по чл. 362, ал. 1, т. 1 от КТК; </w:t>
      </w:r>
      <w:r w:rsidRPr="00767EF8">
        <w:rPr>
          <w:b/>
        </w:rPr>
        <w:t>2)</w:t>
      </w:r>
      <w:r w:rsidRPr="002A73A9">
        <w:t xml:space="preserve"> регламентиране на </w:t>
      </w:r>
      <w:r>
        <w:t>реда</w:t>
      </w:r>
      <w:r w:rsidRPr="002A73A9">
        <w:t xml:space="preserve"> за</w:t>
      </w:r>
      <w:r>
        <w:t xml:space="preserve"> пускане в експлоатация </w:t>
      </w:r>
      <w:r w:rsidRPr="002A73A9">
        <w:t xml:space="preserve">на кораб по чл. 72 от КТК; </w:t>
      </w:r>
      <w:r w:rsidRPr="002A73A9">
        <w:rPr>
          <w:b/>
        </w:rPr>
        <w:t>3)</w:t>
      </w:r>
      <w:r w:rsidRPr="002A73A9">
        <w:t xml:space="preserve"> прилагане на съпътстващи мерки по чл. 372а от КТК; </w:t>
      </w:r>
      <w:r w:rsidRPr="002A73A9">
        <w:rPr>
          <w:b/>
        </w:rPr>
        <w:t>4)</w:t>
      </w:r>
      <w:r w:rsidRPr="002A73A9">
        <w:t xml:space="preserve"> координиране на извършването на одит </w:t>
      </w:r>
      <w:r>
        <w:t>по чл. 7, ал. 3 от КТК</w:t>
      </w:r>
      <w:r w:rsidRPr="002A73A9">
        <w:t xml:space="preserve">; </w:t>
      </w:r>
      <w:r w:rsidRPr="002A73A9">
        <w:rPr>
          <w:b/>
        </w:rPr>
        <w:t>5)</w:t>
      </w:r>
      <w:r w:rsidRPr="002A73A9">
        <w:t xml:space="preserve"> поддържане на система за управление на качеството по чл. 360, ал. 7 от КТК. В останалата си част </w:t>
      </w:r>
      <w:r w:rsidRPr="002A73A9">
        <w:rPr>
          <w:bCs/>
        </w:rPr>
        <w:t xml:space="preserve">изискванията на Директива 2009/21/ЕО са въведени в националното законодателство с разпоредби на подзаконови </w:t>
      </w:r>
      <w:r w:rsidRPr="002A73A9">
        <w:t>нормативни</w:t>
      </w:r>
      <w:r w:rsidRPr="002A73A9">
        <w:rPr>
          <w:bCs/>
        </w:rPr>
        <w:t xml:space="preserve"> актове – Наредба № 11 от 26 април 2004  г. за прегледите на корабите и корабопритежателите (обн., ДВ, бр. 52 от 2004 г.) и </w:t>
      </w:r>
      <w:r w:rsidRPr="002A73A9">
        <w:rPr>
          <w:bCs/>
        </w:rPr>
        <w:lastRenderedPageBreak/>
        <w:t xml:space="preserve">Устройствен правилник на Изпълнителна агенция </w:t>
      </w:r>
      <w:r>
        <w:rPr>
          <w:bCs/>
        </w:rPr>
        <w:t>„</w:t>
      </w:r>
      <w:r w:rsidRPr="002A73A9">
        <w:rPr>
          <w:bCs/>
        </w:rPr>
        <w:t>Морска администрация</w:t>
      </w:r>
      <w:r>
        <w:rPr>
          <w:bCs/>
        </w:rPr>
        <w:t>“</w:t>
      </w:r>
      <w:r w:rsidRPr="002A73A9">
        <w:rPr>
          <w:bCs/>
        </w:rPr>
        <w:t>, приет с Постановление № 106 на Министерския съвет от 2015 г. (обн., ДВ, бр. 33 от 2015 г.).</w:t>
      </w:r>
    </w:p>
    <w:p w:rsidR="00BE6E8E" w:rsidRPr="002A73A9" w:rsidRDefault="00BE6E8E" w:rsidP="00BE6E8E">
      <w:pPr>
        <w:ind w:firstLine="709"/>
        <w:jc w:val="both"/>
        <w:rPr>
          <w:color w:val="333333"/>
          <w:sz w:val="27"/>
          <w:szCs w:val="27"/>
        </w:rPr>
      </w:pPr>
      <w:r w:rsidRPr="002A73A9">
        <w:t>Директива (ЕС) 2024/3100</w:t>
      </w:r>
      <w:r>
        <w:t xml:space="preserve"> изменя</w:t>
      </w:r>
      <w:r w:rsidRPr="002A73A9">
        <w:rPr>
          <w:bCs/>
          <w:iCs/>
        </w:rPr>
        <w:t xml:space="preserve"> Директива 2009/21/ЕО</w:t>
      </w:r>
      <w:r>
        <w:rPr>
          <w:bCs/>
          <w:iCs/>
        </w:rPr>
        <w:t>, като</w:t>
      </w:r>
      <w:r w:rsidRPr="002A73A9">
        <w:rPr>
          <w:bCs/>
          <w:iCs/>
        </w:rPr>
        <w:t xml:space="preserve"> цели да осигури: </w:t>
      </w:r>
      <w:r w:rsidRPr="002A73A9">
        <w:rPr>
          <w:b/>
          <w:bCs/>
          <w:iCs/>
        </w:rPr>
        <w:t>1)</w:t>
      </w:r>
      <w:r w:rsidRPr="002A73A9">
        <w:rPr>
          <w:bCs/>
          <w:iCs/>
        </w:rPr>
        <w:t xml:space="preserve"> </w:t>
      </w:r>
      <w:r>
        <w:rPr>
          <w:bCs/>
          <w:iCs/>
        </w:rPr>
        <w:t>правилно прилагане на приложимите международни изисквания</w:t>
      </w:r>
      <w:r w:rsidRPr="002A73A9">
        <w:rPr>
          <w:bCs/>
          <w:iCs/>
        </w:rPr>
        <w:t xml:space="preserve">, по-специално по отношение на прилагането на изискванията на Кодекса за прилагане на задължителните инструменти на ИМО (ІІІ code), приет с Резолюция А.1070(28) на Асамблеята на Международната морска организация на 4 декември 2013 г., в сила за Република България от 28 февруари 2018 г. (обн., ДВ, бр. 97 от 2018 г.); </w:t>
      </w:r>
      <w:r w:rsidRPr="002A73A9">
        <w:rPr>
          <w:b/>
          <w:bCs/>
          <w:iCs/>
        </w:rPr>
        <w:t>2)</w:t>
      </w:r>
      <w:r w:rsidRPr="002A73A9">
        <w:rPr>
          <w:bCs/>
          <w:iCs/>
        </w:rPr>
        <w:t xml:space="preserve"> </w:t>
      </w:r>
      <w:r>
        <w:rPr>
          <w:bCs/>
          <w:iCs/>
        </w:rPr>
        <w:t>извършване на</w:t>
      </w:r>
      <w:r w:rsidRPr="002A73A9">
        <w:rPr>
          <w:bCs/>
          <w:iCs/>
        </w:rPr>
        <w:t xml:space="preserve"> </w:t>
      </w:r>
      <w:r>
        <w:rPr>
          <w:bCs/>
          <w:iCs/>
        </w:rPr>
        <w:t>контролни</w:t>
      </w:r>
      <w:r w:rsidRPr="002A73A9">
        <w:rPr>
          <w:bCs/>
          <w:iCs/>
        </w:rPr>
        <w:t xml:space="preserve"> проверки на корабите</w:t>
      </w:r>
      <w:r>
        <w:rPr>
          <w:bCs/>
          <w:iCs/>
        </w:rPr>
        <w:t xml:space="preserve"> </w:t>
      </w:r>
      <w:r w:rsidRPr="002A73A9">
        <w:rPr>
          <w:bCs/>
          <w:iCs/>
        </w:rPr>
        <w:t xml:space="preserve">и </w:t>
      </w:r>
      <w:r>
        <w:rPr>
          <w:bCs/>
          <w:iCs/>
        </w:rPr>
        <w:t xml:space="preserve">ефективен </w:t>
      </w:r>
      <w:r w:rsidRPr="002A73A9">
        <w:rPr>
          <w:bCs/>
          <w:iCs/>
        </w:rPr>
        <w:t xml:space="preserve">надзор и мониторинг на признати организации; </w:t>
      </w:r>
      <w:r w:rsidRPr="002A73A9">
        <w:rPr>
          <w:b/>
          <w:bCs/>
          <w:iCs/>
        </w:rPr>
        <w:t>3)</w:t>
      </w:r>
      <w:r w:rsidRPr="002A73A9">
        <w:rPr>
          <w:bCs/>
          <w:iCs/>
        </w:rPr>
        <w:t xml:space="preserve"> осигуряване на по-широко внедряване на цифрови решения, по-</w:t>
      </w:r>
      <w:r w:rsidRPr="002A73A9">
        <w:t xml:space="preserve">специално, осигуряване на докладването, използването и споделянето на електронни свидетелства, които са оперативно съвместими с базите данни, поддържани от Европейската агенция по морска безопасност; </w:t>
      </w:r>
      <w:r w:rsidRPr="002A73A9">
        <w:rPr>
          <w:b/>
        </w:rPr>
        <w:t>4)</w:t>
      </w:r>
      <w:r w:rsidRPr="002A73A9">
        <w:t xml:space="preserve"> засилено сътрудничество и изграждане на капацитет и обучение на </w:t>
      </w:r>
      <w:r>
        <w:t>контролните органи</w:t>
      </w:r>
      <w:r w:rsidRPr="002A73A9">
        <w:t>.</w:t>
      </w:r>
      <w:r w:rsidRPr="002A73A9">
        <w:rPr>
          <w:color w:val="333333"/>
          <w:sz w:val="27"/>
          <w:szCs w:val="27"/>
        </w:rPr>
        <w:t xml:space="preserve"> </w:t>
      </w:r>
    </w:p>
    <w:p w:rsidR="00BE6E8E" w:rsidRPr="00A73710" w:rsidRDefault="00BE6E8E" w:rsidP="00BE6E8E">
      <w:pPr>
        <w:ind w:firstLine="709"/>
        <w:jc w:val="both"/>
      </w:pPr>
      <w:r w:rsidRPr="002A73A9">
        <w:t xml:space="preserve">С § 3 от проекта се предлагат следните нормативни промени във връзка с въвеждане на изисквания на Директива (ЕС) 2024/3100: </w:t>
      </w:r>
      <w:r w:rsidRPr="002A73A9">
        <w:rPr>
          <w:b/>
        </w:rPr>
        <w:t>1)</w:t>
      </w:r>
      <w:r w:rsidRPr="002A73A9">
        <w:t xml:space="preserve"> допълнение на чл. 73, уреждащ реда за извършване на прегледи на корабите, с изрично посочване на лицата по смисъла на чл. 3, б. „з“ от Директива (ЕС) 2024/3100, </w:t>
      </w:r>
      <w:r>
        <w:t>които извършват</w:t>
      </w:r>
      <w:r w:rsidRPr="002A73A9">
        <w:t xml:space="preserve"> прегледите; </w:t>
      </w:r>
      <w:r w:rsidRPr="00A73710">
        <w:rPr>
          <w:b/>
        </w:rPr>
        <w:t>2)</w:t>
      </w:r>
      <w:r w:rsidRPr="002A73A9">
        <w:t xml:space="preserve"> изменение на легалната дефиниция на понятието „сървейьр“ по §  1а, т. 11 от Допълнителните разпоредби в пълно </w:t>
      </w:r>
      <w:r w:rsidRPr="00922ED3">
        <w:t>съответствие с определението в чл. 3, б. „з“ от Директива (ЕС) 2024/3100. По отношение на използвания термин „контролъор“ в българския официален превод на Директива (ЕС) 2024/3100 се отчита, че същият е неточен превод на вече утвърденото и широко използвано в практиката понятие „сървейьр“</w:t>
      </w:r>
      <w:r>
        <w:t xml:space="preserve">. Поради това </w:t>
      </w:r>
      <w:r w:rsidRPr="00922ED3">
        <w:t>е възприет терминът „сървейьр“, който съответства на понятието в официалния превод на Директива (ЕС) 2024/3100 на английски език.</w:t>
      </w:r>
      <w:r>
        <w:t>;</w:t>
      </w:r>
      <w:r w:rsidRPr="00922ED3">
        <w:t xml:space="preserve"> </w:t>
      </w:r>
      <w:r w:rsidRPr="00A73710">
        <w:rPr>
          <w:b/>
        </w:rPr>
        <w:t>3)</w:t>
      </w:r>
      <w:r>
        <w:t xml:space="preserve"> прецизиране на понятия</w:t>
      </w:r>
      <w:r w:rsidRPr="002542CB">
        <w:rPr>
          <w:color w:val="000000"/>
        </w:rPr>
        <w:t xml:space="preserve"> </w:t>
      </w:r>
      <w:r>
        <w:rPr>
          <w:color w:val="000000"/>
        </w:rPr>
        <w:t>в</w:t>
      </w:r>
      <w:r w:rsidRPr="00922ED3">
        <w:t>ъв връзка с</w:t>
      </w:r>
      <w:r w:rsidRPr="00922ED3">
        <w:rPr>
          <w:bCs/>
          <w:iCs/>
        </w:rPr>
        <w:t xml:space="preserve"> осигуряване на по-широко внедряване на цифрови решения</w:t>
      </w:r>
      <w:r>
        <w:t xml:space="preserve">. </w:t>
      </w:r>
      <w:r>
        <w:rPr>
          <w:color w:val="000000"/>
        </w:rPr>
        <w:t>С</w:t>
      </w:r>
      <w:r w:rsidRPr="00922ED3">
        <w:rPr>
          <w:color w:val="000000"/>
        </w:rPr>
        <w:t xml:space="preserve">  § </w:t>
      </w:r>
      <w:r>
        <w:rPr>
          <w:color w:val="000000"/>
        </w:rPr>
        <w:t>30</w:t>
      </w:r>
      <w:r w:rsidRPr="00922ED3">
        <w:rPr>
          <w:color w:val="000000"/>
        </w:rPr>
        <w:t xml:space="preserve"> от проекта се предлага навсякъде думите „регистрови книги“ да се заменят с „регистри“</w:t>
      </w:r>
      <w:r>
        <w:rPr>
          <w:color w:val="000000"/>
        </w:rPr>
        <w:t xml:space="preserve"> </w:t>
      </w:r>
      <w:r>
        <w:t xml:space="preserve">с оглед </w:t>
      </w:r>
      <w:r>
        <w:rPr>
          <w:color w:val="000000"/>
        </w:rPr>
        <w:t>използването</w:t>
      </w:r>
      <w:r w:rsidRPr="00922ED3">
        <w:rPr>
          <w:color w:val="000000"/>
        </w:rPr>
        <w:t xml:space="preserve"> на електронни регистри, поддържани от Изпълнителна</w:t>
      </w:r>
      <w:r>
        <w:rPr>
          <w:color w:val="000000"/>
        </w:rPr>
        <w:t xml:space="preserve"> агенция „Морска администрация“</w:t>
      </w:r>
      <w:r w:rsidRPr="00922ED3">
        <w:rPr>
          <w:color w:val="000000"/>
        </w:rPr>
        <w:t xml:space="preserve">. </w:t>
      </w:r>
      <w:r>
        <w:rPr>
          <w:color w:val="000000"/>
        </w:rPr>
        <w:t>В тази връзка</w:t>
      </w:r>
      <w:r w:rsidRPr="00922ED3">
        <w:rPr>
          <w:color w:val="000000"/>
        </w:rPr>
        <w:t xml:space="preserve"> е и предложената с § 1 от проекта редакционна промяна в заглавието на Глава втора, Раздел  </w:t>
      </w:r>
      <w:r w:rsidRPr="00922ED3">
        <w:rPr>
          <w:color w:val="000000"/>
          <w:lang w:val="en-US"/>
        </w:rPr>
        <w:t>II</w:t>
      </w:r>
      <w:r w:rsidRPr="00922ED3">
        <w:rPr>
          <w:color w:val="000000"/>
        </w:rPr>
        <w:t xml:space="preserve">, което се изменя от „Регистрови книги“ на „Регистри“. </w:t>
      </w:r>
      <w:r w:rsidRPr="00922ED3">
        <w:t>В останалата си част изискванията на Директива (ЕС) 2024/3100 се предвижда да бъдат въведени на съответното систематично място в подзаконовата нормативна уредба.</w:t>
      </w:r>
    </w:p>
    <w:p w:rsidR="00BE6E8E" w:rsidRPr="00922ED3" w:rsidRDefault="00BE6E8E" w:rsidP="00BE6E8E">
      <w:pPr>
        <w:ind w:firstLine="709"/>
        <w:jc w:val="both"/>
      </w:pPr>
      <w:r w:rsidRPr="00922ED3">
        <w:rPr>
          <w:color w:val="000000"/>
        </w:rPr>
        <w:t xml:space="preserve">В трета група са включени промени във връзка с повишаване на ефективността на извършвания контрол и актуализиране на </w:t>
      </w:r>
      <w:r w:rsidRPr="00922ED3">
        <w:t xml:space="preserve">размерите на глобите и имуществените санкции в глава осемнадесета „Административнонаказателни разпоредби“. По отношение на част от предвидените наказания за административни нарушения (чл.  374, ал.  1, чл. 375, чл. 376, чл. 378, чл. 380 и чл. 381 от КТК) се предлага да бъдат увеличени размерите на наказанието. В съответствие с изискванията на Закона за въвеждане на еврото в Република България се предлага да се извърши превалутиране в евро на размерите на глобите и имуществените санкции. </w:t>
      </w:r>
    </w:p>
    <w:p w:rsidR="00BE6E8E" w:rsidRPr="00922ED3" w:rsidRDefault="00BE6E8E" w:rsidP="00BE6E8E">
      <w:pPr>
        <w:ind w:firstLine="709"/>
        <w:jc w:val="both"/>
      </w:pPr>
      <w:r w:rsidRPr="00922ED3">
        <w:t xml:space="preserve">С оглед на натрупаната административна практика е отчетена необходимост от въвеждане на състав </w:t>
      </w:r>
      <w:r>
        <w:t>при</w:t>
      </w:r>
      <w:r w:rsidRPr="00922ED3">
        <w:t xml:space="preserve"> повторност на нарушението по чл. 374, ал. 1 от КТК. Повторното извършване на нарушението означава, че първоначално наложената санкци</w:t>
      </w:r>
      <w:r>
        <w:t xml:space="preserve">я не е постигнала необходимото </w:t>
      </w:r>
      <w:r w:rsidRPr="00922ED3">
        <w:t xml:space="preserve"> превантивно въздействие. При </w:t>
      </w:r>
      <w:r>
        <w:t>нарушението</w:t>
      </w:r>
      <w:r w:rsidRPr="00922ED3">
        <w:t xml:space="preserve"> на правилата за безопасност на корабоплаването и/или опазване на околната среда от замърсяване повторното нарушение има особено значение поради характера на охраняваните обществени отношения. Липсата в действащия текст на по-тежка мярка при повторност на нарушението води до еднакво санкциониране при еднократно нарушение и при устойчиво неспазване на установените изисквания. Въвеждането на състав </w:t>
      </w:r>
      <w:r>
        <w:t>при</w:t>
      </w:r>
      <w:r w:rsidRPr="00922ED3">
        <w:t xml:space="preserve"> </w:t>
      </w:r>
      <w:r w:rsidRPr="00922ED3">
        <w:lastRenderedPageBreak/>
        <w:t>повторност на нарушението цели да засили възпиращото действие на глобата или санкцията, като ясно се разграничи инцидентното нарушение от последващо неспазване на същото изискване. С § 9 от проекта се пред</w:t>
      </w:r>
      <w:r>
        <w:t xml:space="preserve">лага </w:t>
      </w:r>
      <w:r w:rsidRPr="00922ED3">
        <w:t>при повторно нарушение по чл. 374, ал. 1, да се налагат глоба или имуществена санкция в двоен размер на първоначално наложената.</w:t>
      </w:r>
    </w:p>
    <w:p w:rsidR="00BE6E8E" w:rsidRPr="00922ED3" w:rsidRDefault="00BE6E8E" w:rsidP="00BE6E8E">
      <w:pPr>
        <w:ind w:firstLine="709"/>
        <w:jc w:val="both"/>
      </w:pPr>
      <w:r w:rsidRPr="00922ED3">
        <w:t xml:space="preserve">В съответствие с практиките в други държави- членки на Европейския съюз (Гърция, Румъния, Германия, Малта и други) се предлага увеличаване на размера на глобата по чл.  375, ал. 1 от КТК, която се налага на </w:t>
      </w:r>
      <w:r w:rsidRPr="00922ED3">
        <w:rPr>
          <w:color w:val="000000"/>
        </w:rPr>
        <w:t xml:space="preserve">член на екипаж на кораб, който изпълнява служебните си задължения с концентрация на алкохол в дъха повече от 0,25 </w:t>
      </w:r>
      <w:r w:rsidRPr="00922ED3">
        <w:rPr>
          <w:color w:val="000000"/>
          <w:lang w:val="en"/>
        </w:rPr>
        <w:t>mg</w:t>
      </w:r>
      <w:r w:rsidRPr="00922ED3">
        <w:rPr>
          <w:color w:val="000000"/>
        </w:rPr>
        <w:t>/</w:t>
      </w:r>
      <w:r w:rsidRPr="00922ED3">
        <w:rPr>
          <w:color w:val="000000"/>
          <w:lang w:val="en"/>
        </w:rPr>
        <w:t>l</w:t>
      </w:r>
      <w:r w:rsidRPr="00922ED3">
        <w:rPr>
          <w:color w:val="000000"/>
        </w:rPr>
        <w:t xml:space="preserve"> или в кръвта повече от 0,5 на хиляда или под въздействието на наркотични вещества или техните аналози. </w:t>
      </w:r>
      <w:r w:rsidRPr="00922ED3">
        <w:t>С § 15</w:t>
      </w:r>
      <w:r>
        <w:t>, т. 1</w:t>
      </w:r>
      <w:r w:rsidRPr="00922ED3">
        <w:t xml:space="preserve"> от проекта се предлага увеличаване на размера на глобата от 200 лв., съответно на </w:t>
      </w:r>
      <w:r>
        <w:t xml:space="preserve"> </w:t>
      </w:r>
      <w:r w:rsidRPr="00922ED3">
        <w:t>2</w:t>
      </w:r>
      <w:r>
        <w:t>5</w:t>
      </w:r>
      <w:r w:rsidRPr="00922ED3">
        <w:t>0 евро, а в случаите на повторно нарушение – увеличаване на раз</w:t>
      </w:r>
      <w:r>
        <w:t>мера на глобата от 500 лв. на 5</w:t>
      </w:r>
      <w:r w:rsidRPr="00922ED3">
        <w:t xml:space="preserve">00 евро. </w:t>
      </w:r>
      <w:r>
        <w:t>С</w:t>
      </w:r>
      <w:r w:rsidRPr="00922ED3">
        <w:t xml:space="preserve"> оглед превенция на рискове за корабоплаването, възникващи в резултат на управление на джетове и други плавателни съдове от водачи в нетрезво състояние, се предлага въвеждането на нов състав, предвиждащ налагане на глоба в размер от 2</w:t>
      </w:r>
      <w:r>
        <w:t>5</w:t>
      </w:r>
      <w:r w:rsidRPr="00922ED3">
        <w:t>0 евро на водач</w:t>
      </w:r>
      <w:r w:rsidRPr="00922ED3">
        <w:rPr>
          <w:color w:val="000000"/>
        </w:rPr>
        <w:t xml:space="preserve">, който управлява плавателен съд с концентрация на алкохол в дъха повече от 0,25 </w:t>
      </w:r>
      <w:r w:rsidRPr="00922ED3">
        <w:rPr>
          <w:color w:val="000000"/>
          <w:lang w:val="en"/>
        </w:rPr>
        <w:t>mg</w:t>
      </w:r>
      <w:r w:rsidRPr="00922ED3">
        <w:rPr>
          <w:color w:val="000000"/>
        </w:rPr>
        <w:t>/</w:t>
      </w:r>
      <w:r w:rsidRPr="00922ED3">
        <w:rPr>
          <w:color w:val="000000"/>
          <w:lang w:val="en"/>
        </w:rPr>
        <w:t>l</w:t>
      </w:r>
      <w:r w:rsidRPr="00922ED3">
        <w:rPr>
          <w:color w:val="000000"/>
        </w:rPr>
        <w:t xml:space="preserve"> или в кръвта повече от 0,5 на хиляда или под въздействието на наркотични вещества или техните аналози</w:t>
      </w:r>
      <w:r>
        <w:rPr>
          <w:color w:val="000000"/>
        </w:rPr>
        <w:t xml:space="preserve"> (§ 15, т. 2 от проекта)</w:t>
      </w:r>
      <w:r w:rsidRPr="00922ED3">
        <w:rPr>
          <w:color w:val="000000"/>
        </w:rPr>
        <w:t xml:space="preserve">. </w:t>
      </w:r>
    </w:p>
    <w:p w:rsidR="00BE6E8E" w:rsidRDefault="00BE6E8E" w:rsidP="00BE6E8E">
      <w:pPr>
        <w:ind w:firstLine="709"/>
        <w:jc w:val="both"/>
      </w:pPr>
      <w:r w:rsidRPr="00922ED3">
        <w:t xml:space="preserve">На следващо място се предлага съществено увеличение на размера на глобата по чл.  376 от КТК, която се налага на </w:t>
      </w:r>
      <w:r w:rsidRPr="00922ED3">
        <w:rPr>
          <w:color w:val="000000"/>
        </w:rPr>
        <w:t>капитан на кораб, пилот или член на екипаж, който по време на изпълнение на служебните си задължения виновно предизвика корабокрушение или авария на кораба.</w:t>
      </w:r>
      <w:r w:rsidRPr="00922ED3">
        <w:t xml:space="preserve"> Размерът на глобата от 200 до 1000 лв. в действащия текст ограничава възможността наказващия</w:t>
      </w:r>
      <w:r>
        <w:t>т</w:t>
      </w:r>
      <w:r w:rsidRPr="00922ED3">
        <w:t xml:space="preserve"> орган да приложи правилно принципа за ин</w:t>
      </w:r>
      <w:r>
        <w:t>дивидуализация на наказанието. Необходимо е в</w:t>
      </w:r>
      <w:r w:rsidRPr="00922ED3">
        <w:t>ъвеждането на по-широк диапазон на размера на наказанието с оглед отчитане на характера на аварията, създадения риск, настъпилите последици и степента на отговорност на нарушителя за виновно предизвик</w:t>
      </w:r>
      <w:r>
        <w:t>в</w:t>
      </w:r>
      <w:r w:rsidRPr="00922ED3">
        <w:t>ане на корабокрушение или авария на кораб. В тази връзка са проучени практиките в други държави-членки на Европейския съюз (Румъния, Хърватия, Франция, Малта, Австрия и други), като е установено, че същите предвиждат значително по-висока долна и горна граница на наказанието. С §  16 от проекта се предлага размерът на глобата да бъде увеличен, като се предвиди глоба в размер от 1000 до 4 500 евро.</w:t>
      </w:r>
    </w:p>
    <w:p w:rsidR="00BE6E8E" w:rsidRPr="007A6D9B" w:rsidRDefault="00BE6E8E" w:rsidP="00BE6E8E">
      <w:pPr>
        <w:ind w:firstLine="709"/>
        <w:jc w:val="both"/>
      </w:pPr>
      <w:r w:rsidRPr="0083124C">
        <w:t>С оглед на натрупаната административна практика се предлага увеличаване на размера на наказанието по чл. 378 от КТК за нарушаване на разпорежданията на капитана на приста</w:t>
      </w:r>
      <w:r w:rsidRPr="00BE3126">
        <w:t xml:space="preserve">нището, които са непосредствен механизъм за осигуряване безопасността на корабоплаването в конкретния пристанищен район. Размерът на глобата от 50 до 1000 лв. при първо нарушение, определен в действащия текст на чл. 378, ал. 1, не съответства на значението на охраняваните отношения и на практиките в други държави-членки на Европейския съюз, особено когато адресатите са професионални морски лица, от които се очаква познаване и спазване на приложимите изисквания. В тази връзка са проучени практиките в други държави-членки на Европейския съюз (Австрия, Кипър, Румъния, Гърция и други), като е установено, че минималният размер на глобата е не по-малко от 100 евро. С § 18, т. 1 от проекта се предлага да се предвиди глоба по чл. 378, ал. 1 от 100 до 1000 евро при първо нарушение. Размерът на наказанието по чл. 378, ал. 2 </w:t>
      </w:r>
      <w:r>
        <w:t>за виновно</w:t>
      </w:r>
      <w:r w:rsidRPr="00BE3126">
        <w:t xml:space="preserve"> допускане корабът да </w:t>
      </w:r>
      <w:r w:rsidRPr="00BE3126">
        <w:rPr>
          <w:color w:val="000000"/>
        </w:rPr>
        <w:t>плава в нарушение на изискванията за безопасност и опазване на околната среда от замърсяване</w:t>
      </w:r>
      <w:r w:rsidRPr="00BE3126">
        <w:t xml:space="preserve"> също е необходимо да бъде увеличен. При този характер на нарушението долна граница на размера на глобата от 500 лв. не съответства в достатъчна степен на </w:t>
      </w:r>
      <w:r>
        <w:t xml:space="preserve">значимостта </w:t>
      </w:r>
      <w:r w:rsidRPr="00BE3126">
        <w:t xml:space="preserve">на охраняваните обществени отношения и не позволява адекватна санкционна реакция, а горната граница на размера на глобата от 5000 лв. е значително по-ниска от определената в практиките в други държави-членки на </w:t>
      </w:r>
      <w:r w:rsidRPr="00BE3126">
        <w:lastRenderedPageBreak/>
        <w:t xml:space="preserve">Европейския съюз (Австрия, Кипър, Румъния, Гърция и други). С § 18, т. 2 от проекта се предлага размерът на глобата в чл. 378, ал. 2 да бъде увеличен от 500 до 3000 евро. </w:t>
      </w:r>
      <w:r>
        <w:t xml:space="preserve">С </w:t>
      </w:r>
      <w:r w:rsidRPr="00BE3126">
        <w:t xml:space="preserve">§ 18, т. 1, 3- 5 от проекта </w:t>
      </w:r>
      <w:r>
        <w:t xml:space="preserve">е предвидено </w:t>
      </w:r>
      <w:r w:rsidRPr="00BE3126">
        <w:t xml:space="preserve">и съответно увеличение на размера на глобите при повторно нарушение по ал. 1, 3 и </w:t>
      </w:r>
      <w:r>
        <w:t>4.</w:t>
      </w:r>
    </w:p>
    <w:p w:rsidR="00BE6E8E" w:rsidRPr="00DB2F71" w:rsidRDefault="00BE6E8E" w:rsidP="00BE6E8E">
      <w:pPr>
        <w:ind w:firstLine="709"/>
        <w:jc w:val="both"/>
      </w:pPr>
      <w:r w:rsidRPr="004F25F3">
        <w:t xml:space="preserve">Отчетена е необходимост и от увеличаване на размерите на наказанието по чл. 380 КТК. В съответствие с практиките в други държави-членки на Европейския съюз (Италия, Австрия, Гърция и други) се предвижда увеличение на размерите на глобата и имуществената санкция по чл. 380, ал. 1 за наемане на работа на кораб на лице, непритежаващо изискваната за тази длъжност правоспособност, или  управление кораб или изпълнение на друга длъжност на кораб, без изискваната за това правоспособност. В тези случаи е взето предвид обстоятелството, че нарушението може да носи пряка икономическа облага за корабопритежателя, обусловено и от стремеж за намаляване на разходите за екипаж, поради което санкцията следва да бъде определена в размер, който да не позволява </w:t>
      </w:r>
      <w:r w:rsidRPr="00E54063">
        <w:t xml:space="preserve">неспазването на изискванията за правоспособност да се възприема като икономически по-изгодно от тяхното изпълнение. Предвиденият към момента диапазон </w:t>
      </w:r>
      <w:r>
        <w:t xml:space="preserve">на размера на санкцията </w:t>
      </w:r>
      <w:r w:rsidRPr="00E54063">
        <w:t xml:space="preserve">от 500 до 5000 лв. не осигурява във всички случаи необходимата съразмерност спрямо характера на нарушението и риска, който то може да създаде. С §  20, т. 1 от проекта се предлага размерът на глобата или имуществената санкция по чл. 380, ал. 1 да бъде увеличен, съответно в размер от 500 до 5 000 евро. Предвидената в действащия текст на чл. </w:t>
      </w:r>
      <w:r>
        <w:t> </w:t>
      </w:r>
      <w:r w:rsidRPr="00E54063">
        <w:t xml:space="preserve">380, ал. 3 глоба от 50 до 250 лв. също е явно несъответстваща на характера на </w:t>
      </w:r>
      <w:r>
        <w:t>нарушението</w:t>
      </w:r>
      <w:r w:rsidRPr="00E54063">
        <w:t>. Наруш</w:t>
      </w:r>
      <w:r>
        <w:t>ението</w:t>
      </w:r>
      <w:r w:rsidRPr="00E54063">
        <w:t xml:space="preserve"> от капитана на правилата за предпазване от сблъскване, крайбрежно плаване, плаване по река Дунав или в пристанищните акватории засяга правила, чието непосредствено предназначение е предотвратяването на произшествия и осигуряването на безопасното корабоплаване. По аналогия с практиките в други държави-членки на Европейския съюз (Германия, Гърция, Румъния и други) е необходимо да се увеличи съществено диапазон</w:t>
      </w:r>
      <w:r>
        <w:t>а</w:t>
      </w:r>
      <w:r w:rsidRPr="00E54063">
        <w:t xml:space="preserve"> по чл. 380, ал. 3 между долната и горната граница на наказанието. С §  20, т. 3 от </w:t>
      </w:r>
      <w:r w:rsidRPr="00DB2F71">
        <w:t>проекта се предлага размерът на глобата по чл. 380, ал. 3 да бъде увеличен в размер от 200 до 5 000 евро.</w:t>
      </w:r>
    </w:p>
    <w:p w:rsidR="00BE6E8E" w:rsidRPr="007A6D9B" w:rsidRDefault="00BE6E8E" w:rsidP="00BE6E8E">
      <w:pPr>
        <w:ind w:firstLine="709"/>
        <w:jc w:val="both"/>
        <w:textAlignment w:val="center"/>
      </w:pPr>
      <w:r w:rsidRPr="00DB2F71">
        <w:t xml:space="preserve">С оглед на натрупаната административна практика е отчетено, че предвидената в чл.  381, ал. 1 санкция в размер от 20 до 500 лв. за нарушаване на други разпоредби на кодекса, не осигурява в достатъчна степен превантивно и възпиращо въздействие. Предвидената санкция в размер от 10 до 250 лв., която се налага по чл. 381, ал.  2 за неизпълнение или нарушаване на законно разпореждане на Изпълнителна агенция </w:t>
      </w:r>
      <w:r>
        <w:t>„</w:t>
      </w:r>
      <w:r w:rsidRPr="00DB2F71">
        <w:t>Морска администрация</w:t>
      </w:r>
      <w:r>
        <w:t>“</w:t>
      </w:r>
      <w:r w:rsidRPr="00DB2F71">
        <w:t xml:space="preserve">, също е отчетено, че не съответства на значението на тези разпореждания и не осигурява достатъчен възпиращ ефект при тяхното съзнателно неизпълнение. Разпорежданията, издавани в рамките на законово предоставените контролни правомощия на Изпълнителна агенция „Морска администрация“, представляват основен способ за своевременна реакция при конкретни обстоятелства, включително когато е необходимо предприемането на </w:t>
      </w:r>
      <w:r>
        <w:t xml:space="preserve">своевременни </w:t>
      </w:r>
      <w:r w:rsidRPr="00DB2F71">
        <w:t>действия за осигуряване безопасността на корабоплаването, предотвратяване или ограничаване на опасност или изпълнение на установени изисквания. С §  2</w:t>
      </w:r>
      <w:r>
        <w:t>1</w:t>
      </w:r>
      <w:r w:rsidRPr="00DB2F71">
        <w:t xml:space="preserve"> от проекта се предлага увеличаване на предвидените глоба и имуществена санкция </w:t>
      </w:r>
      <w:r>
        <w:t>до</w:t>
      </w:r>
      <w:r w:rsidRPr="00DB2F71">
        <w:t xml:space="preserve"> размер от 20 до 500 евро по ал. 1 и съответно </w:t>
      </w:r>
      <w:r>
        <w:t>до</w:t>
      </w:r>
      <w:r w:rsidRPr="00DB2F71">
        <w:t xml:space="preserve"> размер от 10 до 250 евро по ал. 2</w:t>
      </w:r>
      <w:r>
        <w:t>, а</w:t>
      </w:r>
      <w:r w:rsidRPr="00170811">
        <w:t xml:space="preserve"> </w:t>
      </w:r>
      <w:r>
        <w:t xml:space="preserve">размерът на </w:t>
      </w:r>
      <w:r w:rsidRPr="00DB2F71">
        <w:t>предвидените глоба и имуществена санкция</w:t>
      </w:r>
      <w:r>
        <w:t xml:space="preserve"> по ал. 3 се превалутира в евро. С  предложената ал. 4 се предвижда изрично, че</w:t>
      </w:r>
      <w:r w:rsidRPr="007A6D9B">
        <w:t xml:space="preserve"> </w:t>
      </w:r>
      <w:r>
        <w:t>в</w:t>
      </w:r>
      <w:r w:rsidRPr="007A6D9B">
        <w:t>ъзлагането на дейности по управлението и експлоатацията на кораби на трети лица не освобождава корабопритежателя от отговорността за спазване изискванията на този зако</w:t>
      </w:r>
      <w:r>
        <w:t xml:space="preserve">н и актовете по прилагането му. </w:t>
      </w:r>
      <w:r w:rsidRPr="00A04193">
        <w:t xml:space="preserve"> Практиката показва, че в международното корабоплаване отделни дейности по управлението и експлоатацията на кораба често се възлагат с договор на корабни мениджъри, оператори или други лица, </w:t>
      </w:r>
      <w:r>
        <w:t>които не притежават качеството корабопритежател</w:t>
      </w:r>
      <w:r w:rsidRPr="00A04193">
        <w:t xml:space="preserve"> по смисъла на КТК. Това създава </w:t>
      </w:r>
      <w:r w:rsidRPr="00A04193">
        <w:lastRenderedPageBreak/>
        <w:t>предпоставки корабопритежателят да противопоставя на административнонаказващия орган вътрешното договорно разпределение на задълженията и да поддържа, че изпълнението на конкретното задължение е възложено на друго лице. Същевременно административнонаказателните разпоредби на КТК не предвиждат административнонаказателна отговорност за тези лица, к</w:t>
      </w:r>
      <w:r>
        <w:t>огато не притежават качеството корабопритежател</w:t>
      </w:r>
      <w:r w:rsidRPr="00A04193">
        <w:t>, поради което те не се явяват адресати на съответната санкционна норма. С предложената нормативна промяна се цели осигуряване на правна сигурност и ефективно санкциониране на корабопритежателя за извършено административно нарушение.</w:t>
      </w:r>
    </w:p>
    <w:p w:rsidR="00BE6E8E" w:rsidRPr="00A73710" w:rsidRDefault="00BE6E8E" w:rsidP="00BE6E8E">
      <w:pPr>
        <w:ind w:firstLine="709"/>
        <w:jc w:val="both"/>
      </w:pPr>
      <w:r>
        <w:t xml:space="preserve">По отношение на размера на останалите </w:t>
      </w:r>
      <w:r w:rsidRPr="00DB2F71">
        <w:t>глоби и имуществени санкции</w:t>
      </w:r>
      <w:r>
        <w:t>, които са предвидени</w:t>
      </w:r>
      <w:r w:rsidRPr="00DB2F71">
        <w:t xml:space="preserve"> в чл. </w:t>
      </w:r>
      <w:r>
        <w:t>373, чл. 374, чл. 374а-374д, чл. 377, чл. 378, ал. 5, чл. 379, чл. 380, ал. 2, чл. 381, ал. 3, чл. 382, чл. 382а, чл. 383, чл. 383а – чл. 383в, се предлага</w:t>
      </w:r>
      <w:r w:rsidRPr="00DB2F71">
        <w:t xml:space="preserve"> </w:t>
      </w:r>
      <w:r>
        <w:t xml:space="preserve">автоматично </w:t>
      </w:r>
      <w:r w:rsidRPr="00DB2F71">
        <w:t>превалутиране в евро</w:t>
      </w:r>
      <w:r>
        <w:t xml:space="preserve"> в</w:t>
      </w:r>
      <w:r w:rsidRPr="00DB2F71">
        <w:t xml:space="preserve"> </w:t>
      </w:r>
      <w:r w:rsidRPr="00A73710">
        <w:t xml:space="preserve">съответствие с изискванията на Закона за въвеждане на еврото в Република България (§ 8 -  14, § 17, § 18, т. 5, §  19, § 20, т. 2, § 21, </w:t>
      </w:r>
      <w:r>
        <w:t>т</w:t>
      </w:r>
      <w:r w:rsidRPr="00A73710">
        <w:t>. 3, § 22-27 от проекта).</w:t>
      </w:r>
    </w:p>
    <w:p w:rsidR="00BE6E8E" w:rsidRPr="00A73710" w:rsidRDefault="00BE6E8E" w:rsidP="00BE6E8E">
      <w:pPr>
        <w:ind w:firstLine="709"/>
        <w:jc w:val="both"/>
        <w:rPr>
          <w:noProof/>
          <w:kern w:val="36"/>
        </w:rPr>
      </w:pPr>
      <w:r>
        <w:rPr>
          <w:color w:val="000000"/>
        </w:rPr>
        <w:t>На следващо място, в</w:t>
      </w:r>
      <w:r w:rsidRPr="00A73710">
        <w:rPr>
          <w:color w:val="000000"/>
        </w:rPr>
        <w:t>ъв връзка с повишаване на ефективността на извършвания контрол</w:t>
      </w:r>
      <w:r w:rsidRPr="00A73710">
        <w:t xml:space="preserve"> се предлага</w:t>
      </w:r>
      <w:r>
        <w:t>:</w:t>
      </w:r>
      <w:r w:rsidRPr="00092AA0">
        <w:rPr>
          <w:b/>
        </w:rPr>
        <w:t xml:space="preserve"> 1) </w:t>
      </w:r>
      <w:r w:rsidRPr="00A73710">
        <w:t>въвеждане на нов състав на нарушение в случаите на възпрепятстване на длъжностни лица на Изпълнителна агенция „Морска администрация“ и неоказване на необходимото им съдействие и сътрудничество при осъществяване на техните контролни правомощия. С § 28 от проекта се предвижда налагане на глоба от 100 до 1500 евро или имуществена санкция в размер от 500 до 1500 евро</w:t>
      </w:r>
      <w:r w:rsidRPr="00891838">
        <w:t xml:space="preserve"> </w:t>
      </w:r>
      <w:r w:rsidRPr="00A73710">
        <w:t>по новия състав на нарушение</w:t>
      </w:r>
      <w:r>
        <w:t xml:space="preserve">; </w:t>
      </w:r>
      <w:r w:rsidRPr="00092AA0">
        <w:rPr>
          <w:b/>
        </w:rPr>
        <w:t>2)</w:t>
      </w:r>
      <w:r>
        <w:t xml:space="preserve"> </w:t>
      </w:r>
      <w:r w:rsidRPr="00A73710">
        <w:t>въвеждане на принудителна административна мяр</w:t>
      </w:r>
      <w:r>
        <w:t>ка с оглед</w:t>
      </w:r>
      <w:r w:rsidRPr="00A73710">
        <w:t xml:space="preserve"> преустановява</w:t>
      </w:r>
      <w:r>
        <w:t>не на</w:t>
      </w:r>
      <w:r w:rsidRPr="00A73710">
        <w:t xml:space="preserve"> нарушение по чл.  375, чл. 376, чл.  378, ал. 2 и 3 и чл. 380, ал. 4 посредством отнемане на свидетелството за правоспособност на нарушителя, издадено от </w:t>
      </w:r>
      <w:r w:rsidRPr="00A73710">
        <w:rPr>
          <w:color w:val="000000"/>
        </w:rPr>
        <w:t>Изпълнителна агенция „Морска администрация“</w:t>
      </w:r>
      <w:r>
        <w:rPr>
          <w:color w:val="000000"/>
        </w:rPr>
        <w:t>,</w:t>
      </w:r>
      <w:r w:rsidRPr="00A73710">
        <w:t xml:space="preserve"> или временно ограничаване на правоспособността, когато свидетелството за правоспособност е издадено от друга държава. С § 7 от проекта се предлага отнемането или временното ограничаване на правоспособността на нарушителя да бъдат налагани до решаване на въпроса за отговорността на лицето, но за не повече от 6 месеца. </w:t>
      </w:r>
      <w:r w:rsidRPr="00A73710">
        <w:rPr>
          <w:noProof/>
          <w:kern w:val="36"/>
        </w:rPr>
        <w:t xml:space="preserve">Подобен подход с въвеждане на принудителна административна мярка от </w:t>
      </w:r>
      <w:r w:rsidRPr="00A73710">
        <w:t>превантивен характер</w:t>
      </w:r>
      <w:r w:rsidRPr="00A73710">
        <w:rPr>
          <w:noProof/>
          <w:kern w:val="36"/>
        </w:rPr>
        <w:t xml:space="preserve"> е познат както в българското законодателство, така и в практиката на други държави членки на Европейския съюз. Законът за движението по пътищата предвижда временно отнемане на свидетелството за управление до решаване на въпроса за отговорността в определени случаи, свързани с безопасността на движението по пътищата. В Германия се допуска предварително изземване на свидетелството за правоспособност </w:t>
      </w:r>
      <w:r w:rsidRPr="00A73710">
        <w:t>на нарушителя</w:t>
      </w:r>
      <w:r w:rsidRPr="00A73710">
        <w:rPr>
          <w:noProof/>
          <w:kern w:val="36"/>
        </w:rPr>
        <w:t xml:space="preserve"> при наличие на неотложни основания да се предполага, че ще бъде постановено </w:t>
      </w:r>
      <w:r>
        <w:rPr>
          <w:noProof/>
          <w:kern w:val="36"/>
        </w:rPr>
        <w:t>неговото спиране или отнемане;</w:t>
      </w:r>
      <w:r w:rsidRPr="00A73710">
        <w:rPr>
          <w:noProof/>
          <w:kern w:val="36"/>
        </w:rPr>
        <w:t xml:space="preserve"> при чуждестранно свидетелство ограничението се реализира чрез лишаване на лицето от правото да упражнява правата по него в рамките на германската юрисдикция и уведомяване на компетентния орган на държавата издател.</w:t>
      </w:r>
    </w:p>
    <w:p w:rsidR="00BE6E8E" w:rsidRPr="002A73A9" w:rsidRDefault="00BE6E8E" w:rsidP="00BE6E8E">
      <w:pPr>
        <w:ind w:firstLine="709"/>
        <w:jc w:val="both"/>
        <w:rPr>
          <w:color w:val="000000"/>
        </w:rPr>
      </w:pPr>
      <w:r w:rsidRPr="00A73710">
        <w:rPr>
          <w:color w:val="000000"/>
        </w:rPr>
        <w:t>В четвърта</w:t>
      </w:r>
      <w:r>
        <w:rPr>
          <w:color w:val="000000"/>
        </w:rPr>
        <w:t xml:space="preserve"> група са включени промени</w:t>
      </w:r>
      <w:r w:rsidRPr="00A73710">
        <w:rPr>
          <w:color w:val="000000"/>
        </w:rPr>
        <w:t xml:space="preserve">, свързани с извършване на </w:t>
      </w:r>
      <w:r>
        <w:rPr>
          <w:color w:val="000000"/>
        </w:rPr>
        <w:t>промяна</w:t>
      </w:r>
      <w:r w:rsidRPr="00A73710">
        <w:rPr>
          <w:color w:val="000000"/>
        </w:rPr>
        <w:t xml:space="preserve"> в чл. 63</w:t>
      </w:r>
      <w:r>
        <w:rPr>
          <w:color w:val="000000"/>
        </w:rPr>
        <w:t>, ал. 3</w:t>
      </w:r>
      <w:r w:rsidRPr="00A73710">
        <w:rPr>
          <w:color w:val="000000"/>
        </w:rPr>
        <w:t xml:space="preserve"> и превалутиране в евро на стойности</w:t>
      </w:r>
      <w:r>
        <w:rPr>
          <w:color w:val="000000"/>
        </w:rPr>
        <w:t>те</w:t>
      </w:r>
      <w:r w:rsidRPr="00A73710">
        <w:rPr>
          <w:color w:val="000000"/>
        </w:rPr>
        <w:t xml:space="preserve"> в чл. 177</w:t>
      </w:r>
      <w:r w:rsidRPr="002A73A9">
        <w:rPr>
          <w:color w:val="000000"/>
        </w:rPr>
        <w:t xml:space="preserve"> и 216. </w:t>
      </w:r>
    </w:p>
    <w:p w:rsidR="00BE6E8E" w:rsidRDefault="00BE6E8E" w:rsidP="00BE6E8E">
      <w:pPr>
        <w:ind w:firstLine="709"/>
        <w:jc w:val="both"/>
      </w:pPr>
      <w:r w:rsidRPr="002A73A9">
        <w:t>С § 2 от проекта се предлага прецизиране на текста на чл. 63, ал. 3. Действащият текст допуска измерването на тонажа на морските кораби да се извършва от организации, признати съгласно чл. 73, ал. 2</w:t>
      </w:r>
      <w:r>
        <w:t xml:space="preserve"> от КТК</w:t>
      </w:r>
      <w:r w:rsidRPr="002A73A9">
        <w:t xml:space="preserve">. По отношение на измерването на речни кораби към момента не е предвидена такава аналогична възможност измерването да бъде извършвано от признати организации, което представлява празнота в законовата уредба. С оглед преодоляване на съществуващата празнота се предлага изменение на чл. 63, ал. 3, с което да се допусне измерването както на морски, така и на речни кораби от признати организации, оправомощени по реда на наредбата по чл. 73, ал. 3 от КТК. </w:t>
      </w:r>
      <w:r w:rsidRPr="00615345">
        <w:rPr>
          <w:noProof/>
        </w:rPr>
        <w:t xml:space="preserve">Предложената промяна е съобразена с необходимостта дейностите по измерване на речни кораби да бъдат възложени на признати организации, които разполагат с необходимия </w:t>
      </w:r>
      <w:r w:rsidRPr="00615345">
        <w:rPr>
          <w:noProof/>
        </w:rPr>
        <w:lastRenderedPageBreak/>
        <w:t>организационен и експертен капацитет за извършване на измерването. Предложението е съобразено с практиката в международното корабоплаване измерването на речни кораби да се възлага на признати организации и отчита, че същите разполагат със значително по-голям брой квалифицирани специалисти за извършане на дейностите по измерването.</w:t>
      </w:r>
      <w:r w:rsidDel="00A04193">
        <w:rPr>
          <w:rStyle w:val="CommentReference"/>
        </w:rPr>
        <w:t xml:space="preserve"> </w:t>
      </w:r>
    </w:p>
    <w:p w:rsidR="00BE6E8E" w:rsidRDefault="00BE6E8E" w:rsidP="00BE6E8E">
      <w:pPr>
        <w:ind w:firstLine="709"/>
        <w:jc w:val="both"/>
      </w:pPr>
      <w:r w:rsidRPr="002A73A9">
        <w:t xml:space="preserve">В съответствие с изискванията на Закона за въвеждане на еврото в Република България с § </w:t>
      </w:r>
      <w:r>
        <w:t>5</w:t>
      </w:r>
      <w:r w:rsidRPr="002A73A9">
        <w:t xml:space="preserve"> от проекта се предлага превалутиране в евро на стойността на обезщетението за погинал (изгубен) корабен товар</w:t>
      </w:r>
      <w:r w:rsidRPr="00092AA0">
        <w:t xml:space="preserve"> </w:t>
      </w:r>
      <w:r w:rsidRPr="002A73A9">
        <w:t>в чл. 177</w:t>
      </w:r>
      <w:r>
        <w:t>, а</w:t>
      </w:r>
      <w:r w:rsidRPr="002A73A9">
        <w:t xml:space="preserve"> </w:t>
      </w:r>
      <w:r>
        <w:t>с</w:t>
      </w:r>
      <w:r w:rsidRPr="002A73A9">
        <w:t xml:space="preserve"> § </w:t>
      </w:r>
      <w:r>
        <w:t>6</w:t>
      </w:r>
      <w:r w:rsidRPr="002A73A9">
        <w:t xml:space="preserve"> от проекта </w:t>
      </w:r>
      <w:r>
        <w:t>се предлага</w:t>
      </w:r>
      <w:r w:rsidRPr="002A73A9">
        <w:t xml:space="preserve"> превалутиране в евро на размера на обезщетението за липси и повреди на багажа, определен</w:t>
      </w:r>
      <w:r>
        <w:t>о</w:t>
      </w:r>
      <w:r w:rsidRPr="002A73A9">
        <w:t xml:space="preserve"> в чл. 216.</w:t>
      </w:r>
    </w:p>
    <w:p w:rsidR="00BE6E8E" w:rsidRPr="00437DAA" w:rsidRDefault="00BE6E8E" w:rsidP="00BE6E8E">
      <w:pPr>
        <w:ind w:firstLine="709"/>
        <w:jc w:val="both"/>
      </w:pPr>
      <w:r>
        <w:t>В</w:t>
      </w:r>
      <w:r w:rsidRPr="002F14D3">
        <w:t xml:space="preserve"> заключителн</w:t>
      </w:r>
      <w:r>
        <w:t>а</w:t>
      </w:r>
      <w:r w:rsidRPr="002F14D3">
        <w:t xml:space="preserve"> разпоредб</w:t>
      </w:r>
      <w:r>
        <w:t>а (§ 31 от проекта)</w:t>
      </w:r>
      <w:r w:rsidRPr="002F14D3">
        <w:t xml:space="preserve"> </w:t>
      </w:r>
      <w:r>
        <w:t xml:space="preserve">е предвидено </w:t>
      </w:r>
      <w:r w:rsidRPr="002F14D3">
        <w:t xml:space="preserve">да бъде извършена последваща оценка на въздействието на закона </w:t>
      </w:r>
      <w:r>
        <w:t>в</w:t>
      </w:r>
      <w:r w:rsidRPr="00437DAA">
        <w:t xml:space="preserve"> срок до 5 години от влизането в сила на </w:t>
      </w:r>
      <w:r>
        <w:t>същия</w:t>
      </w:r>
      <w:r w:rsidRPr="00437DAA">
        <w:t xml:space="preserve"> </w:t>
      </w:r>
      <w:r>
        <w:t>от изпълнителния</w:t>
      </w:r>
      <w:r w:rsidRPr="00437DAA">
        <w:t xml:space="preserve"> директор на Изпълнителна агенция "Морска администрация"</w:t>
      </w:r>
      <w:r>
        <w:t xml:space="preserve"> </w:t>
      </w:r>
      <w:r w:rsidRPr="001D3807">
        <w:t>при условията и по реда, предвидени в Закона за нормативните актове</w:t>
      </w:r>
      <w:r>
        <w:t>.</w:t>
      </w:r>
    </w:p>
    <w:p w:rsidR="00BE6E8E" w:rsidRPr="002A73A9" w:rsidRDefault="00BE6E8E" w:rsidP="00BE6E8E">
      <w:pPr>
        <w:ind w:firstLine="709"/>
        <w:jc w:val="both"/>
      </w:pPr>
      <w:r w:rsidRPr="002A73A9">
        <w:t>В изпълнение на изискванията на чл. 3, ал. 4, т. 2 от Постановление № 85 на Министерския съвет от 2007 г. за координация по въпросите на Европейския и чл.35, ал. 1, т. 3 от Устройствения правилник на Министерския съвет и на неговата администрация са изготвени две таблици за съответствие на националното законодателство</w:t>
      </w:r>
      <w:r w:rsidRPr="002A73A9">
        <w:rPr>
          <w:rFonts w:eastAsia="Tahoma"/>
        </w:rPr>
        <w:t xml:space="preserve"> с </w:t>
      </w:r>
      <w:r>
        <w:rPr>
          <w:rFonts w:eastAsia="Tahoma"/>
        </w:rPr>
        <w:t>изискванията на правото на Европейския съюз</w:t>
      </w:r>
      <w:r w:rsidRPr="002A73A9">
        <w:t xml:space="preserve"> </w:t>
      </w:r>
      <w:r>
        <w:t>(</w:t>
      </w:r>
      <w:r w:rsidRPr="002A73A9">
        <w:t>съответно с изискванията на Директива (ЕС) 2024/3017 и Директива (ЕС) 2024/3100),</w:t>
      </w:r>
      <w:r w:rsidRPr="002A73A9">
        <w:rPr>
          <w:rFonts w:eastAsia="Tahoma"/>
        </w:rPr>
        <w:t xml:space="preserve"> както и становище на Работна група 9 „Транспортна политика“ към Съвета по европейските въпроси.</w:t>
      </w:r>
    </w:p>
    <w:p w:rsidR="00BE6E8E" w:rsidRPr="00A73710" w:rsidRDefault="00BE6E8E" w:rsidP="00BE6E8E">
      <w:pPr>
        <w:tabs>
          <w:tab w:val="left" w:pos="10472"/>
        </w:tabs>
        <w:ind w:firstLine="709"/>
        <w:jc w:val="both"/>
      </w:pPr>
      <w:r w:rsidRPr="002A73A9">
        <w:t xml:space="preserve">Предложените промени в Кодекса на търговското корабоплаване, свързани с изпълнение на </w:t>
      </w:r>
      <w:r w:rsidRPr="002A73A9">
        <w:rPr>
          <w:spacing w:val="3"/>
        </w:rPr>
        <w:t>мярка № 74 от Плана за действие за 2026 г. с мерките, произтичащи от членството на Република България в Европейския съюз, приет с Решение № 84 на Министерския съвет от 2026 г.</w:t>
      </w:r>
      <w:r w:rsidRPr="002A73A9">
        <w:t>, са съгласувани в рамките на Работна група 9 „Транспортна политика”.</w:t>
      </w:r>
    </w:p>
    <w:p w:rsidR="00BE6E8E" w:rsidRPr="002A73A9" w:rsidRDefault="00BE6E8E" w:rsidP="00BE6E8E">
      <w:pPr>
        <w:ind w:right="50" w:firstLine="709"/>
        <w:jc w:val="both"/>
      </w:pPr>
      <w:r w:rsidRPr="002A73A9">
        <w:rPr>
          <w:bCs/>
        </w:rPr>
        <w:t xml:space="preserve">Приемането на предлагания проект няма да окаже въздействие върху държавния бюджет. </w:t>
      </w:r>
      <w:r w:rsidRPr="002A73A9">
        <w:t>За изпълнението му не са необходими допълнителни разходи, трансфери или други плащания по бюджета на Министерството на транспорта и съобщенията или на други бюджетни организации, поради което е изготвена и към този доклад се прилага одобрена финансова обосновка съгласно Приложение № 2.2 към чл. 35, ал. 1, т. 4, буква „б” от Устройствения правилник на Министерския съвет и на неговата администрация.</w:t>
      </w:r>
    </w:p>
    <w:p w:rsidR="00BE6E8E" w:rsidRPr="002A73A9" w:rsidRDefault="00BE6E8E" w:rsidP="00BE6E8E">
      <w:pPr>
        <w:ind w:right="50" w:firstLine="709"/>
        <w:jc w:val="both"/>
      </w:pPr>
      <w:r>
        <w:rPr>
          <w:rFonts w:eastAsia="Calibri"/>
          <w:bCs/>
        </w:rPr>
        <w:t>П</w:t>
      </w:r>
      <w:r w:rsidRPr="002A73A9">
        <w:rPr>
          <w:rFonts w:eastAsia="Calibri"/>
          <w:bCs/>
        </w:rPr>
        <w:t>рилага</w:t>
      </w:r>
      <w:r>
        <w:rPr>
          <w:rFonts w:eastAsia="Calibri"/>
          <w:bCs/>
        </w:rPr>
        <w:t xml:space="preserve"> се</w:t>
      </w:r>
      <w:bookmarkStart w:id="0" w:name="_GoBack"/>
      <w:bookmarkEnd w:id="0"/>
      <w:r w:rsidRPr="002A73A9">
        <w:rPr>
          <w:rFonts w:eastAsia="Calibri"/>
          <w:bCs/>
        </w:rPr>
        <w:t xml:space="preserve"> и частична предварителна оценка на въздействието на проекта на акт, съгласувана с дирекция „Координация и модернизация на администрацията“ в Администрацията на Министерския съвет, чието становище също се прилага</w:t>
      </w:r>
    </w:p>
    <w:p w:rsidR="00BE6E8E" w:rsidRPr="002A73A9" w:rsidRDefault="00BE6E8E" w:rsidP="00BE6E8E">
      <w:pPr>
        <w:ind w:right="50" w:firstLine="709"/>
        <w:jc w:val="both"/>
        <w:rPr>
          <w:rFonts w:eastAsia="Calibri"/>
          <w:bCs/>
        </w:rPr>
      </w:pPr>
      <w:r w:rsidRPr="002A73A9">
        <w:rPr>
          <w:rFonts w:eastAsia="Calibri"/>
          <w:bCs/>
        </w:rPr>
        <w:t xml:space="preserve">В съответствие с чл. 26, ал. 2 от Закона за нормативните актове и в изпълнение на чл. 35, ал. 2, т. 7 от Устройствения правилник на Министерския съвет и на неговата администрация </w:t>
      </w:r>
      <w:r w:rsidRPr="002A73A9">
        <w:t>проектът на закон</w:t>
      </w:r>
      <w:r w:rsidRPr="002A73A9">
        <w:rPr>
          <w:rFonts w:eastAsia="Calibri"/>
          <w:bCs/>
        </w:rPr>
        <w:t xml:space="preserve">, мотивите за приемането му и частичната предварителна оценка на въздействието на проекта са публикувани за провеждане на обществени консултации на интернет страницата на Министерството на транспорта и съобщенията и в Портала за обществени консултации на Министерския съвет. На заинтересованите лица е предоставена възможност да се запознаят с проекта на закон и съпровождащите го документи и да представят писмени предложения или становища в 30-дневен срок от публикуването им. </w:t>
      </w:r>
    </w:p>
    <w:p w:rsidR="00102CBF" w:rsidRPr="003B26C5" w:rsidRDefault="00102CBF" w:rsidP="00936B17">
      <w:pPr>
        <w:jc w:val="both"/>
        <w:rPr>
          <w:lang w:eastAsia="bg-BG"/>
        </w:rPr>
      </w:pPr>
    </w:p>
    <w:sectPr w:rsidR="00102CBF" w:rsidRPr="003B26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D2574"/>
    <w:multiLevelType w:val="hybridMultilevel"/>
    <w:tmpl w:val="A1F24D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D6F86"/>
    <w:multiLevelType w:val="multilevel"/>
    <w:tmpl w:val="86DE6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F01A33"/>
    <w:multiLevelType w:val="multilevel"/>
    <w:tmpl w:val="73DAE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FB4574"/>
    <w:multiLevelType w:val="multilevel"/>
    <w:tmpl w:val="640CB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5A37DE"/>
    <w:multiLevelType w:val="multilevel"/>
    <w:tmpl w:val="E91EB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6B5"/>
    <w:rsid w:val="00021F72"/>
    <w:rsid w:val="0003365F"/>
    <w:rsid w:val="0003782C"/>
    <w:rsid w:val="00081DC0"/>
    <w:rsid w:val="0008561B"/>
    <w:rsid w:val="000E0CDC"/>
    <w:rsid w:val="00102CBF"/>
    <w:rsid w:val="0013231C"/>
    <w:rsid w:val="001323CA"/>
    <w:rsid w:val="001334B6"/>
    <w:rsid w:val="0016039F"/>
    <w:rsid w:val="00161AED"/>
    <w:rsid w:val="002117E2"/>
    <w:rsid w:val="00226FF9"/>
    <w:rsid w:val="00257628"/>
    <w:rsid w:val="00262532"/>
    <w:rsid w:val="00276A71"/>
    <w:rsid w:val="002C27D3"/>
    <w:rsid w:val="002D1CA0"/>
    <w:rsid w:val="002E5DBE"/>
    <w:rsid w:val="00307D50"/>
    <w:rsid w:val="003218B9"/>
    <w:rsid w:val="003850E2"/>
    <w:rsid w:val="003B26C5"/>
    <w:rsid w:val="003D4827"/>
    <w:rsid w:val="00407B44"/>
    <w:rsid w:val="0048121D"/>
    <w:rsid w:val="004B05B8"/>
    <w:rsid w:val="004D028F"/>
    <w:rsid w:val="005501EE"/>
    <w:rsid w:val="00571B9B"/>
    <w:rsid w:val="00573672"/>
    <w:rsid w:val="00580BDF"/>
    <w:rsid w:val="005A08A0"/>
    <w:rsid w:val="005A14ED"/>
    <w:rsid w:val="005B0B92"/>
    <w:rsid w:val="005C3304"/>
    <w:rsid w:val="005D5F29"/>
    <w:rsid w:val="005F4AB2"/>
    <w:rsid w:val="006A5578"/>
    <w:rsid w:val="0077462A"/>
    <w:rsid w:val="007D632E"/>
    <w:rsid w:val="007E4C0A"/>
    <w:rsid w:val="007F3429"/>
    <w:rsid w:val="0081119E"/>
    <w:rsid w:val="00811ED6"/>
    <w:rsid w:val="00831821"/>
    <w:rsid w:val="008318D4"/>
    <w:rsid w:val="00877A22"/>
    <w:rsid w:val="008A2EE5"/>
    <w:rsid w:val="009000A1"/>
    <w:rsid w:val="00920E61"/>
    <w:rsid w:val="00935638"/>
    <w:rsid w:val="00936B17"/>
    <w:rsid w:val="00950FD6"/>
    <w:rsid w:val="00986415"/>
    <w:rsid w:val="009B46B5"/>
    <w:rsid w:val="009C0987"/>
    <w:rsid w:val="00A45901"/>
    <w:rsid w:val="00B26C07"/>
    <w:rsid w:val="00B62F0C"/>
    <w:rsid w:val="00B86EEF"/>
    <w:rsid w:val="00B90535"/>
    <w:rsid w:val="00BE6E8E"/>
    <w:rsid w:val="00C17E40"/>
    <w:rsid w:val="00C23061"/>
    <w:rsid w:val="00C6648C"/>
    <w:rsid w:val="00C91826"/>
    <w:rsid w:val="00CC49D3"/>
    <w:rsid w:val="00CC7CEA"/>
    <w:rsid w:val="00CD2935"/>
    <w:rsid w:val="00CD5E7E"/>
    <w:rsid w:val="00CF5ED6"/>
    <w:rsid w:val="00D058F9"/>
    <w:rsid w:val="00D06C8F"/>
    <w:rsid w:val="00D46D89"/>
    <w:rsid w:val="00DB277A"/>
    <w:rsid w:val="00DE428E"/>
    <w:rsid w:val="00E04C22"/>
    <w:rsid w:val="00E05037"/>
    <w:rsid w:val="00E6306F"/>
    <w:rsid w:val="00E67223"/>
    <w:rsid w:val="00E9240C"/>
    <w:rsid w:val="00EB43FC"/>
    <w:rsid w:val="00EE000C"/>
    <w:rsid w:val="00EF7520"/>
    <w:rsid w:val="00FA0C36"/>
    <w:rsid w:val="00FA71B8"/>
    <w:rsid w:val="00FC1FB7"/>
    <w:rsid w:val="00FF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E50E6"/>
  <w15:chartTrackingRefBased/>
  <w15:docId w15:val="{B0B0B04F-7C81-4E77-943E-4A7FC7936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6E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36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2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28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C09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35638"/>
    <w:pPr>
      <w:spacing w:line="240" w:lineRule="atLeast"/>
      <w:ind w:firstLine="990"/>
      <w:jc w:val="both"/>
    </w:pPr>
    <w:rPr>
      <w:color w:val="000000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E924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40C"/>
    <w:pPr>
      <w:spacing w:after="160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40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4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40C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ur-lex.europa.eu/legal-content/BG/TXT/?uri=CELEX%3A52023PC027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4001</Words>
  <Characters>22808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Ilia Jordanov</cp:lastModifiedBy>
  <cp:revision>4</cp:revision>
  <cp:lastPrinted>2025-10-21T06:05:00Z</cp:lastPrinted>
  <dcterms:created xsi:type="dcterms:W3CDTF">2026-10-13T13:58:00Z</dcterms:created>
  <dcterms:modified xsi:type="dcterms:W3CDTF">2026-10-28T14:58:00Z</dcterms:modified>
</cp:coreProperties>
</file>