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228" w:rsidRPr="00CD6228" w:rsidRDefault="00CD6228" w:rsidP="00CD6228">
      <w:pPr>
        <w:pStyle w:val="text-align-justify"/>
        <w:shd w:val="clear" w:color="auto" w:fill="FFFFFF"/>
        <w:spacing w:before="0" w:beforeAutospacing="0"/>
        <w:ind w:left="3540"/>
        <w:rPr>
          <w:color w:val="212529"/>
        </w:rPr>
      </w:pPr>
      <w:bookmarkStart w:id="0" w:name="_GoBack"/>
      <w:bookmarkEnd w:id="0"/>
      <w:r w:rsidRPr="00CD6228">
        <w:rPr>
          <w:rStyle w:val="Strong"/>
          <w:color w:val="212529"/>
        </w:rPr>
        <w:t>Мотиви</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Основната цел на предложения проект на Постановление на Министерския съвет е да бъдат въведени в националната правна система изискванията на Делегирана директива (ЕС) 2025/811.</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На реализирането ѝ са посветени разпоредбите на § 12, допълнителната разпоредба на § 21 и заключителните разпоредби § 22 и § 23 от проекта на постановление.</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Първата от тях (§ 12 от проекта на постановление) предвижда в глава четвърта  на Наредбата, носеща наименованието „Система за докладване в морските пространства на Република България“, да бъде създаден раздел </w:t>
      </w:r>
      <w:proofErr w:type="spellStart"/>
      <w:r w:rsidRPr="00CD6228">
        <w:rPr>
          <w:color w:val="212529"/>
        </w:rPr>
        <w:t>IIа</w:t>
      </w:r>
      <w:proofErr w:type="spellEnd"/>
      <w:r w:rsidRPr="00CD6228">
        <w:rPr>
          <w:color w:val="212529"/>
        </w:rPr>
        <w:t xml:space="preserve"> със заглавие „Докладване в района на система за задължително докладване“, включващ чл. 28а, чл. 28б и чл. 28в. Систематичното място на новото подразделение е избрано като е съобразена логиката на конструиране на глава четвърта на Наредбата – от разпоредби, уреждащи задълженията на по-ограничен кръг лица (капитани на кораби, отговарящи на конкретни изисквания, корабни агенти и корабни оператори на такива кораби) да предоставят на компетентните български органи информация (да докладват), защото посещават или отплават от българско морско пристанище, през разпоредби, регламентиращи задълженията за докладване на по-широк кръг лица (капитани на кораби с бруто тонаж 300 БТ и повече), чиито кораби навлизат в установените райони за рутинен доклад, до разпоредби, уреждащи задълженията за докладване на възможно най-широк кръг адресати (капитани на кораби, независимо от техния вид и бруто тонаж), чиито кораби се намират където и да е в морските пространства на Република България. Новите чл. 28а, чл. 28б и чл. 28в уреждат: </w:t>
      </w:r>
      <w:r w:rsidRPr="00CD6228">
        <w:rPr>
          <w:rStyle w:val="Strong"/>
          <w:color w:val="212529"/>
        </w:rPr>
        <w:t>1)</w:t>
      </w:r>
      <w:r w:rsidRPr="00CD6228">
        <w:rPr>
          <w:color w:val="212529"/>
        </w:rPr>
        <w:t> кръга на задължените да докладват лица – капитаните на кораби с бруто тонаж 300 БТ и повече, навлизащи в район на Черно море, в който е установена система за задължително докладване, приета от ИМО в съответствие с Правило 11 от глава V на Конвенция SOLAS и използвана от Република България в съответствие с Резолюция А.851(20) на Общото събрание на ИМО от 27 ноември 1997 г.; </w:t>
      </w:r>
      <w:r w:rsidRPr="00CD6228">
        <w:rPr>
          <w:rStyle w:val="Strong"/>
          <w:color w:val="212529"/>
        </w:rPr>
        <w:t>2)</w:t>
      </w:r>
      <w:r w:rsidRPr="00CD6228">
        <w:rPr>
          <w:color w:val="212529"/>
        </w:rPr>
        <w:t> компетентния български орган, на който следва да бъде предоставен докладът – Изпълнителна агенция „Морска администрация“; </w:t>
      </w:r>
      <w:r w:rsidRPr="00CD6228">
        <w:rPr>
          <w:rStyle w:val="Strong"/>
          <w:color w:val="212529"/>
        </w:rPr>
        <w:t>3)</w:t>
      </w:r>
      <w:r w:rsidRPr="00CD6228">
        <w:rPr>
          <w:color w:val="212529"/>
        </w:rPr>
        <w:t> информацията, която трябва да бъде докладвана – всички данни по т. 4 от Приложение I на Директива 2002/59/ЕО, включително и тези, въведени с Делегирана директива (ЕС) 2025/811; </w:t>
      </w:r>
      <w:r w:rsidRPr="00CD6228">
        <w:rPr>
          <w:rStyle w:val="Strong"/>
          <w:color w:val="212529"/>
        </w:rPr>
        <w:t>4)</w:t>
      </w:r>
      <w:r w:rsidRPr="00CD6228">
        <w:rPr>
          <w:color w:val="212529"/>
        </w:rPr>
        <w:t> начина, по който следва да бъде извършвано докладването – по електронен път; </w:t>
      </w:r>
      <w:r w:rsidRPr="00CD6228">
        <w:rPr>
          <w:rStyle w:val="Strong"/>
          <w:color w:val="212529"/>
        </w:rPr>
        <w:t>5)</w:t>
      </w:r>
      <w:r w:rsidRPr="00CD6228">
        <w:rPr>
          <w:color w:val="212529"/>
        </w:rPr>
        <w:t> задължението за докладване на всяка промяна във вече предоставената информация; </w:t>
      </w:r>
      <w:r w:rsidRPr="00CD6228">
        <w:rPr>
          <w:rStyle w:val="Strong"/>
          <w:color w:val="212529"/>
        </w:rPr>
        <w:t>6)</w:t>
      </w:r>
      <w:r w:rsidRPr="00CD6228">
        <w:rPr>
          <w:color w:val="212529"/>
        </w:rPr>
        <w:t> изискването информацията – предмет на задължително докладване, да бъде отразена в предложението до ИМО за приемане на система за задължително докладване или за изменение на съществуваща система за задължително докладване (изискване на чл. 5, параграф 2 от Директива 2002/59/ЕО) и </w:t>
      </w:r>
      <w:r w:rsidRPr="00CD6228">
        <w:rPr>
          <w:rStyle w:val="Strong"/>
          <w:color w:val="212529"/>
        </w:rPr>
        <w:t>7)</w:t>
      </w:r>
      <w:r w:rsidRPr="00CD6228">
        <w:rPr>
          <w:color w:val="212529"/>
        </w:rPr>
        <w:t> реда за оповестяване на района на системата за задължително докладване, както и на изискванията относно подлежащата на докладване информация и сроковете и способите за предоставянето ѝ на Изпълнителна агенция „Морска администрация“ – чрез „Известия до мореплавателите“.</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 xml:space="preserve">С допълнителната разпоредба на § 21 от проекта на постановление се изпълнява изискването на чл. 2, параграф 1, ал. 1 от Делегирана директива (ЕС) 2025/811 да бъде извършено позоваване на акта на вторичното право на Европейския съюз чиито изисквания се въвеждат в националното законодателство. Позоваването се прави в съответствие с разпоредбите на чл. 32, ал. 2, т. 4, буква „а“ и чл. 40, ал. 2, т. 3 от Указ </w:t>
      </w:r>
      <w:r w:rsidRPr="00CD6228">
        <w:rPr>
          <w:color w:val="212529"/>
        </w:rPr>
        <w:lastRenderedPageBreak/>
        <w:t>№ 883 от 1974 г. за прилагане на Закона за нормативните актове (</w:t>
      </w:r>
      <w:proofErr w:type="spellStart"/>
      <w:r w:rsidRPr="00CD6228">
        <w:rPr>
          <w:color w:val="212529"/>
        </w:rPr>
        <w:t>обн</w:t>
      </w:r>
      <w:proofErr w:type="spellEnd"/>
      <w:r w:rsidRPr="00CD6228">
        <w:rPr>
          <w:color w:val="212529"/>
        </w:rPr>
        <w:t>., ДВ, бр. 39 от 1974 г., доп., бр. 7 от 1978 г. и бр. 57 от 1980 г., изм., бр. 46 от 2007 г.).</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Създаването на уредба на докладването от кораби, навлизащи в района на система за задължително докладване, налага внасянето на промяна и в § 33 от Допълнителните разпоредби на Постановление № 287 на Министерския съвет от 7 декември 2010 г. за изменение и допълнение на Наредбата за системите за движение, докладване и управление на трафика и информационно обслужване на корабоплаването в морските пространства на Република България и в българския морски отговорен район за търсене и спасяване, приета с Постановление № 200 на Министерския съвет от 2005 г. (ДВ, бр. 76 от 2005 г.) (</w:t>
      </w:r>
      <w:proofErr w:type="spellStart"/>
      <w:r w:rsidRPr="00CD6228">
        <w:rPr>
          <w:color w:val="212529"/>
        </w:rPr>
        <w:t>обн</w:t>
      </w:r>
      <w:proofErr w:type="spellEnd"/>
      <w:r w:rsidRPr="00CD6228">
        <w:rPr>
          <w:color w:val="212529"/>
        </w:rPr>
        <w:t>., ДВ, бр. 97 от 2010 г.) – § 22 от Заключителните разпоредби на проекта на постановление, с който се уеднаквява използваната в Наредбата терминология.</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Предложението подзаконовият нормативен акт да влезе в сила от деня на обнародването му в „Държавен вестник“ (заключителната разпоредба на § 23 от проекта на постановление) е съобразено с изискването на чл. 2, параграф 1, ал. 2 от Делегирана директива (ЕС) 2025/811 съответната държава членка да започне да прилага изменените правила за докладване в зоните за задължително докладване незабавно след приемането им.</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С останалите текстове, включени в проекта на Постановление на Министерския съвет, се цели усъвършенстване на действащите разпоредби на Наредбата. При създаването на Наредбата преди 20 години, както и при последващите изменения и допълнения е бил следван подход на максимално придържане към текста на Директива 2002/59/ЕО, който в определени случаи достига до степен на буквално възпроизвеждане на текстовете в официалния им български превод. Наред с това през този 20-годишен период КТК и ЗМПВВППРБ – двата законодателни акта, за изпълнение на разпоредби от които е издадена Наредбата, претърпяха съществени изменения. Значителна част от актовете на международното право, към които се правят препратки в директивата и в Наредбата, към момента на създаване на съответната национална препращаща разпоредба не са били обнародвани в „Държавен вестник“, докато сега обнародването е факт и наименованието, с което международният акт е обозначен в Наредбата се различава от установеното по-късно, при обнародването на акта на международното право в „Държавен вестник“, наименование на български език. В резултат от описаното понастоящем Наредбата съдържа разпоредби, които: </w:t>
      </w:r>
      <w:r w:rsidRPr="00CD6228">
        <w:rPr>
          <w:rStyle w:val="Strong"/>
          <w:color w:val="212529"/>
        </w:rPr>
        <w:t>1)</w:t>
      </w:r>
      <w:r w:rsidRPr="00CD6228">
        <w:rPr>
          <w:color w:val="212529"/>
        </w:rPr>
        <w:t> съдържат термини, несъответстващи на понятийния апарат на КТК и ЗМПВВППРБ (например: „пристанище Варана-запад“ вместо „пристанищен терминал Варна-запад“, „отказан достъп“ вместо „забранено посещение на пристанище“ и т.н.); </w:t>
      </w:r>
      <w:r w:rsidRPr="00CD6228">
        <w:rPr>
          <w:rStyle w:val="Strong"/>
          <w:color w:val="212529"/>
        </w:rPr>
        <w:t>2)</w:t>
      </w:r>
      <w:r w:rsidRPr="00CD6228">
        <w:rPr>
          <w:color w:val="212529"/>
        </w:rPr>
        <w:t> съдържат термини, несъответстващи на трайно установени в правната ни система понятия (например: „удостоверение за сключена застраховка“ вместо „застрахователен сертификат“); </w:t>
      </w:r>
      <w:r w:rsidRPr="00CD6228">
        <w:rPr>
          <w:rStyle w:val="Strong"/>
          <w:color w:val="212529"/>
        </w:rPr>
        <w:t>3)</w:t>
      </w:r>
      <w:r w:rsidRPr="00CD6228">
        <w:rPr>
          <w:color w:val="212529"/>
        </w:rPr>
        <w:t> съдържат неправилно използвани термини (например: „тонаж“ и „тона“ вместо „бруто тонаж“ и „бруто тона“, когато става дума за една от основните характеристики на кораба – неговата пълна вместимост, „брегова черта“ вместо „брегова линия“, „име“ вместо „наименование“, когато става дума за техническото название на опасен или замърсяващ околната среда товар, „</w:t>
      </w:r>
      <w:proofErr w:type="spellStart"/>
      <w:r w:rsidRPr="00CD6228">
        <w:rPr>
          <w:color w:val="212529"/>
        </w:rPr>
        <w:t>корабособственик</w:t>
      </w:r>
      <w:proofErr w:type="spellEnd"/>
      <w:r w:rsidRPr="00CD6228">
        <w:rPr>
          <w:color w:val="212529"/>
        </w:rPr>
        <w:t>“ вместо „</w:t>
      </w:r>
      <w:proofErr w:type="spellStart"/>
      <w:r w:rsidRPr="00CD6228">
        <w:rPr>
          <w:color w:val="212529"/>
        </w:rPr>
        <w:t>корабопритежател</w:t>
      </w:r>
      <w:proofErr w:type="spellEnd"/>
      <w:r w:rsidRPr="00CD6228">
        <w:rPr>
          <w:color w:val="212529"/>
        </w:rPr>
        <w:t>“, когато става дума за лицето, което експлоатира кораба от свое име); </w:t>
      </w:r>
      <w:r w:rsidRPr="00CD6228">
        <w:rPr>
          <w:rStyle w:val="Strong"/>
          <w:color w:val="212529"/>
        </w:rPr>
        <w:t>4)</w:t>
      </w:r>
      <w:r w:rsidRPr="00CD6228">
        <w:rPr>
          <w:color w:val="212529"/>
        </w:rPr>
        <w:t> не изпълняват изцяло или не изпълняват точно изискванията чл. 40, ал. 2, т. 3 и 4 от Указ № 883 от 1974 г. за прилагане на Закона за нормативните актове относно вида на данните, които следва да бъдат посочени при първо позоваване на акт на вторичното право на Европейския съюз или на акт на международното право, по който Република България е страна; </w:t>
      </w:r>
      <w:r w:rsidRPr="00CD6228">
        <w:rPr>
          <w:rStyle w:val="Strong"/>
          <w:color w:val="212529"/>
        </w:rPr>
        <w:t>5)</w:t>
      </w:r>
      <w:r w:rsidRPr="00CD6228">
        <w:rPr>
          <w:color w:val="212529"/>
        </w:rPr>
        <w:t xml:space="preserve"> следва да бъдат </w:t>
      </w:r>
      <w:r w:rsidRPr="00CD6228">
        <w:rPr>
          <w:color w:val="212529"/>
        </w:rPr>
        <w:lastRenderedPageBreak/>
        <w:t>приведени в съответствие с изискванията на чл. 9, ал. 1 от Закона за нормативните актове за кратко формулиране на правните норми и на чл. 41 от Указ № 883 от 1974 г. за неговото прилагане като се премахне излишното повтаряне на всички данни за актовете на международното право при второ и следващо препращане или като се използват последователно възприетите съкращения за обозначаването им при многократно позоваване; </w:t>
      </w:r>
      <w:r w:rsidRPr="00CD6228">
        <w:rPr>
          <w:rStyle w:val="Strong"/>
          <w:color w:val="212529"/>
        </w:rPr>
        <w:t>6)</w:t>
      </w:r>
      <w:r w:rsidRPr="00CD6228">
        <w:rPr>
          <w:color w:val="212529"/>
        </w:rPr>
        <w:t> препращат към национален правен акт, чието наименование в последствие е било променено или съдържат неточна препратка.</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Към тази група разпоредби трябва да бъдат причислени също § 13, т. 1 от проекта на постановление относно изменение на чл. 29, ал. 1 от Наредбата и § 14, т. 2 от проекта на постановление относно изменение на чл. 29а, ал. 3 от Наредбата, чиято задача е да бъде отразена извършената в Изпълнителна агенция „Морска администрация“ организационна промяна, изразяваща се в създаване на Главна дирекция „Аварийно-спасителна дейност“ и обособяването като структурна единица в нея на Морски спасително-координационен център.</w:t>
      </w:r>
    </w:p>
    <w:p w:rsidR="00CD6228" w:rsidRPr="00CD6228" w:rsidRDefault="00CD6228" w:rsidP="00CD6228">
      <w:pPr>
        <w:pStyle w:val="text-align-justify"/>
        <w:shd w:val="clear" w:color="auto" w:fill="FFFFFF"/>
        <w:spacing w:before="0" w:beforeAutospacing="0"/>
        <w:ind w:firstLine="708"/>
        <w:jc w:val="both"/>
        <w:rPr>
          <w:color w:val="212529"/>
        </w:rPr>
      </w:pPr>
      <w:r w:rsidRPr="00CD6228">
        <w:rPr>
          <w:color w:val="212529"/>
        </w:rPr>
        <w:t>В същата група предложени с проекта на постановление промени влизат § 17, т. 2 относно отмяна на чл. 32, ал. 2 и 3 от Наредбата и § 19 относно създаване на чл. 34 в глава пета „</w:t>
      </w:r>
      <w:proofErr w:type="spellStart"/>
      <w:r w:rsidRPr="00CD6228">
        <w:rPr>
          <w:color w:val="212529"/>
        </w:rPr>
        <w:t>Административнонаказателни</w:t>
      </w:r>
      <w:proofErr w:type="spellEnd"/>
      <w:r w:rsidRPr="00CD6228">
        <w:rPr>
          <w:color w:val="212529"/>
        </w:rPr>
        <w:t xml:space="preserve"> разпоредби“ на Наредбата. Тяхната задача е разпоредбите, които уреждат задълженията на Изпълнителна агенция „Морска администрация“ да предоставя информация за установените нарушения на правилата на Наредбата и наложените за тях наказания на държавите на знамето, както и на Европейската комисия и останалите държави членки на Европейския съюз чрез системата </w:t>
      </w:r>
      <w:proofErr w:type="spellStart"/>
      <w:r w:rsidRPr="00CD6228">
        <w:rPr>
          <w:color w:val="212529"/>
        </w:rPr>
        <w:t>SafeSeaNet</w:t>
      </w:r>
      <w:proofErr w:type="spellEnd"/>
      <w:r w:rsidRPr="00CD6228">
        <w:rPr>
          <w:color w:val="212529"/>
        </w:rPr>
        <w:t>, да бъдат поставени на систематичното им място.</w:t>
      </w:r>
    </w:p>
    <w:p w:rsidR="00CD6228" w:rsidRPr="00CD6228" w:rsidRDefault="00CD6228" w:rsidP="00CD6228">
      <w:pPr>
        <w:pStyle w:val="text-align-justify"/>
        <w:shd w:val="clear" w:color="auto" w:fill="FFFFFF"/>
        <w:spacing w:before="0" w:beforeAutospacing="0"/>
        <w:jc w:val="both"/>
        <w:rPr>
          <w:color w:val="212529"/>
        </w:rPr>
      </w:pPr>
      <w:r w:rsidRPr="00CD6228">
        <w:rPr>
          <w:color w:val="212529"/>
        </w:rPr>
        <w:t>Очакваните резултати от предлагания проект на акт са:</w:t>
      </w:r>
    </w:p>
    <w:p w:rsidR="00CD6228" w:rsidRPr="00CD6228" w:rsidRDefault="00CD6228" w:rsidP="00CD6228">
      <w:pPr>
        <w:pStyle w:val="text-align-justify"/>
        <w:numPr>
          <w:ilvl w:val="0"/>
          <w:numId w:val="1"/>
        </w:numPr>
        <w:shd w:val="clear" w:color="auto" w:fill="FFFFFF"/>
        <w:spacing w:before="0" w:beforeAutospacing="0"/>
        <w:jc w:val="both"/>
        <w:rPr>
          <w:color w:val="212529"/>
        </w:rPr>
      </w:pPr>
      <w:r w:rsidRPr="00CD6228">
        <w:rPr>
          <w:color w:val="212529"/>
        </w:rPr>
        <w:t>въвеждане в националното законодателство на изискванията на Делегирана директива (ЕС) 2025/811;</w:t>
      </w:r>
    </w:p>
    <w:p w:rsidR="00CD6228" w:rsidRPr="00CD6228" w:rsidRDefault="00CD6228" w:rsidP="00CD6228">
      <w:pPr>
        <w:pStyle w:val="text-align-justify"/>
        <w:numPr>
          <w:ilvl w:val="0"/>
          <w:numId w:val="1"/>
        </w:numPr>
        <w:shd w:val="clear" w:color="auto" w:fill="FFFFFF"/>
        <w:spacing w:before="0" w:beforeAutospacing="0"/>
        <w:jc w:val="both"/>
        <w:rPr>
          <w:color w:val="212529"/>
        </w:rPr>
      </w:pPr>
      <w:r w:rsidRPr="00CD6228">
        <w:rPr>
          <w:color w:val="212529"/>
        </w:rPr>
        <w:t xml:space="preserve">отстраняване на установените в някои от разпоредбите на подзаконовия нормативен акт недостатъци и привеждането им в пълно съответствие с изискванията на Закона за нормативните актове, Указ № 883 от 1974 г. за неговото прилагане, както и в синхрон с другите </w:t>
      </w:r>
      <w:proofErr w:type="spellStart"/>
      <w:r w:rsidRPr="00CD6228">
        <w:rPr>
          <w:color w:val="212529"/>
        </w:rPr>
        <w:t>относими</w:t>
      </w:r>
      <w:proofErr w:type="spellEnd"/>
      <w:r w:rsidRPr="00CD6228">
        <w:rPr>
          <w:color w:val="212529"/>
        </w:rPr>
        <w:t xml:space="preserve"> актове от националната правна система.</w:t>
      </w:r>
    </w:p>
    <w:p w:rsidR="00CD6228" w:rsidRPr="00CD6228" w:rsidRDefault="00CD6228" w:rsidP="00CD6228">
      <w:pPr>
        <w:pStyle w:val="text-align-justify"/>
        <w:shd w:val="clear" w:color="auto" w:fill="FFFFFF"/>
        <w:spacing w:before="0" w:beforeAutospacing="0"/>
        <w:ind w:firstLine="360"/>
        <w:jc w:val="both"/>
        <w:rPr>
          <w:color w:val="212529"/>
        </w:rPr>
      </w:pPr>
      <w:r w:rsidRPr="00CD6228">
        <w:rPr>
          <w:color w:val="212529"/>
        </w:rPr>
        <w:t>Предлаганият проект на Постановление на Министерския съвет не води до въздействие върху държавния бюджет. За изпълнението му не са необходими допълнителни разходи, трансфери или други плащания по бюджета на Министерството на транспорта и съобщенията или на други бюджетни организации, поради което е изготвена и към този доклад се прилага одобрена финансова обосновка съгласно Приложение № 2.2 към чл. 35, ал. 1, т. 4, буква „б” от Устройствения правилник на Министерския съвет и на неговата администрация.</w:t>
      </w:r>
    </w:p>
    <w:p w:rsidR="00CD6228" w:rsidRPr="00CD6228" w:rsidRDefault="00CD6228" w:rsidP="00CD6228">
      <w:pPr>
        <w:pStyle w:val="NormalWeb"/>
        <w:shd w:val="clear" w:color="auto" w:fill="FFFFFF"/>
        <w:spacing w:before="0" w:beforeAutospacing="0"/>
        <w:ind w:firstLine="360"/>
        <w:jc w:val="both"/>
        <w:rPr>
          <w:color w:val="212529"/>
        </w:rPr>
      </w:pPr>
      <w:r w:rsidRPr="00CD6228">
        <w:rPr>
          <w:color w:val="212529"/>
        </w:rPr>
        <w:t>Изготвена е и към този доклад се прилага таблица за съответствие на националното право с нормите на Делегирана директива (ЕС) 2025/811 на Комисията от 19 февруари 2025 г. за изменение на приложение I към Директива 2002/59/ЕО на Европейския парламент и на Съвета по отношение на информацията, която трябва да се съобщава на системите за отчет на корабите, както и становище на Работна група 9 „Транспортна политика“ към Съвета по европейските въпроси.</w:t>
      </w:r>
    </w:p>
    <w:sectPr w:rsidR="00CD6228" w:rsidRPr="00CD62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230FBD"/>
    <w:multiLevelType w:val="multilevel"/>
    <w:tmpl w:val="D018A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187"/>
    <w:rsid w:val="00283187"/>
    <w:rsid w:val="009D3C80"/>
    <w:rsid w:val="00CD62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2AD9E"/>
  <w15:chartTrackingRefBased/>
  <w15:docId w15:val="{78363A09-2AB9-4FB0-84B2-6F8F2C1D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align-justify">
    <w:name w:val="text-align-justify"/>
    <w:basedOn w:val="Normal"/>
    <w:rsid w:val="00CD622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CD6228"/>
    <w:rPr>
      <w:b/>
      <w:bCs/>
    </w:rPr>
  </w:style>
  <w:style w:type="paragraph" w:styleId="NormalWeb">
    <w:name w:val="Normal (Web)"/>
    <w:basedOn w:val="Normal"/>
    <w:uiPriority w:val="99"/>
    <w:semiHidden/>
    <w:unhideWhenUsed/>
    <w:rsid w:val="00CD6228"/>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45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1523</Words>
  <Characters>8686</Characters>
  <Application>Microsoft Office Word</Application>
  <DocSecurity>0</DocSecurity>
  <Lines>72</Lines>
  <Paragraphs>20</Paragraphs>
  <ScaleCrop>false</ScaleCrop>
  <Company>MTC</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Ralitsa Bradvarska</dc:creator>
  <cp:keywords/>
  <dc:description/>
  <cp:lastModifiedBy>Ralitsa Bradvarska</cp:lastModifiedBy>
  <cp:revision>2</cp:revision>
  <dcterms:created xsi:type="dcterms:W3CDTF">2026-02-12T10:17:00Z</dcterms:created>
  <dcterms:modified xsi:type="dcterms:W3CDTF">2026-02-12T10:19:00Z</dcterms:modified>
</cp:coreProperties>
</file>