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A0D" w:rsidRPr="00B62A0D" w:rsidRDefault="00995566" w:rsidP="00B62A0D">
      <w:pPr>
        <w:tabs>
          <w:tab w:val="center" w:pos="4153"/>
          <w:tab w:val="right" w:pos="8306"/>
        </w:tabs>
        <w:spacing w:after="0" w:line="360" w:lineRule="auto"/>
        <w:rPr>
          <w:rFonts w:ascii="Verdana" w:eastAsia="Times New Roman" w:hAnsi="Verdana" w:cs="Verdana"/>
          <w:sz w:val="20"/>
          <w:szCs w:val="20"/>
          <w:lang w:eastAsia="bg-BG"/>
        </w:rPr>
      </w:pPr>
      <w:bookmarkStart w:id="0" w:name="_GoBack"/>
      <w:bookmarkEnd w:id="0"/>
      <w:r>
        <w:rPr>
          <w:rFonts w:ascii="Verdana" w:eastAsia="Times New Roman" w:hAnsi="Verdana" w:cs="Verdana"/>
          <w:sz w:val="20"/>
          <w:szCs w:val="20"/>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75pt;height:95.25pt">
            <v:imagedata r:id="rId7" o:title=""/>
            <o:lock v:ext="edit" ungrouping="t" rotation="t" cropping="t" verticies="t" text="t" grouping="t"/>
            <o:signatureline v:ext="edit" id="{79AA0B27-9BD6-459E-B56D-C31B1094E012}" provid="{00000000-0000-0000-0000-000000000000}" issignatureline="t"/>
          </v:shape>
        </w:pict>
      </w:r>
    </w:p>
    <w:p w:rsidR="00B62A0D" w:rsidRPr="00B62A0D" w:rsidRDefault="00B62A0D" w:rsidP="00B62A0D">
      <w:pPr>
        <w:widowControl w:val="0"/>
        <w:autoSpaceDE w:val="0"/>
        <w:autoSpaceDN w:val="0"/>
        <w:adjustRightInd w:val="0"/>
        <w:spacing w:after="0" w:line="360" w:lineRule="auto"/>
        <w:ind w:left="4989" w:hanging="27"/>
        <w:jc w:val="both"/>
        <w:rPr>
          <w:rFonts w:ascii="Verdana" w:eastAsia="Times New Roman" w:hAnsi="Verdana" w:cs="Verdana"/>
          <w:b/>
          <w:bCs/>
          <w:sz w:val="20"/>
          <w:szCs w:val="20"/>
          <w:lang w:eastAsia="bg-BG"/>
        </w:rPr>
      </w:pPr>
      <w:r w:rsidRPr="00B62A0D">
        <w:rPr>
          <w:rFonts w:ascii="Verdana" w:eastAsia="Times New Roman" w:hAnsi="Verdana" w:cs="Verdana"/>
          <w:b/>
          <w:sz w:val="20"/>
          <w:szCs w:val="20"/>
          <w:lang w:eastAsia="bg-BG"/>
        </w:rPr>
        <w:t>ОДОБРИЛ,</w:t>
      </w:r>
      <w:r w:rsidRPr="00B62A0D">
        <w:rPr>
          <w:rFonts w:ascii="Verdana" w:eastAsia="Times New Roman" w:hAnsi="Verdana" w:cs="Verdana"/>
          <w:b/>
          <w:sz w:val="20"/>
          <w:szCs w:val="20"/>
          <w:lang w:eastAsia="bg-BG"/>
        </w:rPr>
        <w:br/>
      </w:r>
      <w:r w:rsidR="00995566">
        <w:rPr>
          <w:rFonts w:ascii="Verdana" w:eastAsia="Times New Roman" w:hAnsi="Verdana" w:cs="Verdana"/>
          <w:b/>
          <w:bCs/>
          <w:sz w:val="20"/>
          <w:szCs w:val="20"/>
          <w:lang w:eastAsia="bg-BG"/>
        </w:rPr>
        <w:pict>
          <v:shape id="_x0000_i1026" type="#_x0000_t75" alt="Ред за подпис, неподписано" style="width:192.75pt;height:95.25pt">
            <v:imagedata r:id="rId8" o:title=""/>
            <o:lock v:ext="edit" ungrouping="t" rotation="t" cropping="t" verticies="t" text="t" grouping="t"/>
            <o:signatureline v:ext="edit" id="{22CB5FA2-8D58-4055-8CA7-D6E7B984AF4E}" provid="{00000000-0000-0000-0000-000000000000}" o:suggestedsigner="ПЛАМЕН АБРОВСКИ" o:suggestedsigner2="Министър" issignatureline="t"/>
          </v:shape>
        </w:pict>
      </w:r>
    </w:p>
    <w:p w:rsidR="00B62A0D" w:rsidRPr="00B62A0D" w:rsidRDefault="00B62A0D" w:rsidP="00B62A0D">
      <w:pPr>
        <w:widowControl w:val="0"/>
        <w:autoSpaceDE w:val="0"/>
        <w:autoSpaceDN w:val="0"/>
        <w:adjustRightInd w:val="0"/>
        <w:spacing w:after="0" w:line="360" w:lineRule="auto"/>
        <w:rPr>
          <w:rFonts w:ascii="Verdana" w:eastAsia="Times New Roman" w:hAnsi="Verdana" w:cs="Verdana"/>
          <w:b/>
          <w:bCs/>
          <w:caps/>
          <w:sz w:val="20"/>
          <w:szCs w:val="24"/>
          <w:lang w:eastAsia="bg-BG"/>
        </w:rPr>
      </w:pPr>
      <w:r w:rsidRPr="00B62A0D">
        <w:rPr>
          <w:rFonts w:ascii="Verdana" w:eastAsia="Times New Roman" w:hAnsi="Verdana" w:cs="Verdana"/>
          <w:b/>
          <w:bCs/>
          <w:sz w:val="20"/>
          <w:szCs w:val="20"/>
          <w:lang w:eastAsia="bg-BG"/>
        </w:rPr>
        <w:t>ДО</w:t>
      </w:r>
      <w:r w:rsidRPr="00B62A0D">
        <w:rPr>
          <w:rFonts w:ascii="Verdana" w:eastAsia="Times New Roman" w:hAnsi="Verdana" w:cs="Verdana"/>
          <w:b/>
          <w:bCs/>
          <w:sz w:val="20"/>
          <w:szCs w:val="20"/>
          <w:lang w:eastAsia="bg-BG"/>
        </w:rPr>
        <w:br/>
        <w:t>МИНИСТЪРА НА ЗЕМЕДЕЛИЕТО И ХРАНИТЕ</w:t>
      </w:r>
      <w:r w:rsidRPr="00B62A0D">
        <w:rPr>
          <w:rFonts w:ascii="Verdana" w:eastAsia="Times New Roman" w:hAnsi="Verdana" w:cs="Verdana"/>
          <w:b/>
          <w:bCs/>
          <w:sz w:val="20"/>
          <w:szCs w:val="20"/>
          <w:lang w:eastAsia="bg-BG"/>
        </w:rPr>
        <w:br/>
      </w:r>
      <w:r w:rsidRPr="00B62A0D">
        <w:rPr>
          <w:rFonts w:ascii="Verdana" w:eastAsia="Times New Roman" w:hAnsi="Verdana" w:cs="Verdana"/>
          <w:b/>
          <w:bCs/>
          <w:caps/>
          <w:sz w:val="20"/>
          <w:szCs w:val="24"/>
          <w:lang w:eastAsia="bg-BG"/>
        </w:rPr>
        <w:t>Г-Н Пламен Абровски</w:t>
      </w:r>
    </w:p>
    <w:p w:rsidR="00B62A0D" w:rsidRPr="00B62A0D" w:rsidRDefault="00B62A0D" w:rsidP="00B62A0D">
      <w:pPr>
        <w:widowControl w:val="0"/>
        <w:autoSpaceDE w:val="0"/>
        <w:autoSpaceDN w:val="0"/>
        <w:adjustRightInd w:val="0"/>
        <w:spacing w:after="0" w:line="360" w:lineRule="auto"/>
        <w:rPr>
          <w:rFonts w:ascii="Verdana" w:eastAsia="Times New Roman" w:hAnsi="Verdana" w:cs="Verdana"/>
          <w:sz w:val="20"/>
          <w:szCs w:val="24"/>
          <w:lang w:eastAsia="bg-BG"/>
        </w:rPr>
      </w:pPr>
    </w:p>
    <w:p w:rsidR="00B62A0D" w:rsidRPr="00B62A0D" w:rsidRDefault="00B62A0D" w:rsidP="00B62A0D">
      <w:pPr>
        <w:widowControl w:val="0"/>
        <w:autoSpaceDE w:val="0"/>
        <w:autoSpaceDN w:val="0"/>
        <w:adjustRightInd w:val="0"/>
        <w:spacing w:after="0" w:line="360" w:lineRule="auto"/>
        <w:jc w:val="center"/>
        <w:rPr>
          <w:rFonts w:ascii="Verdana" w:eastAsia="Times New Roman" w:hAnsi="Verdana" w:cs="Verdana"/>
          <w:b/>
          <w:spacing w:val="70"/>
          <w:sz w:val="24"/>
          <w:szCs w:val="24"/>
          <w:lang w:eastAsia="bg-BG"/>
        </w:rPr>
      </w:pPr>
      <w:r w:rsidRPr="00B62A0D">
        <w:rPr>
          <w:rFonts w:ascii="Verdana" w:eastAsia="Times New Roman" w:hAnsi="Verdana" w:cs="Verdana"/>
          <w:b/>
          <w:spacing w:val="70"/>
          <w:sz w:val="24"/>
          <w:szCs w:val="24"/>
          <w:lang w:eastAsia="bg-BG"/>
        </w:rPr>
        <w:t>ДОКЛАД</w:t>
      </w:r>
    </w:p>
    <w:p w:rsidR="00B62A0D" w:rsidRPr="00B62A0D" w:rsidRDefault="00B62A0D" w:rsidP="00B62A0D">
      <w:pPr>
        <w:widowControl w:val="0"/>
        <w:autoSpaceDE w:val="0"/>
        <w:autoSpaceDN w:val="0"/>
        <w:adjustRightInd w:val="0"/>
        <w:spacing w:after="0" w:line="360" w:lineRule="auto"/>
        <w:jc w:val="center"/>
        <w:rPr>
          <w:rFonts w:ascii="Verdana" w:eastAsia="Times New Roman" w:hAnsi="Verdana" w:cs="Times New Roman"/>
          <w:smallCaps/>
          <w:sz w:val="20"/>
          <w:szCs w:val="20"/>
          <w:lang w:eastAsia="bg-BG"/>
        </w:rPr>
      </w:pPr>
      <w:r w:rsidRPr="00B62A0D">
        <w:rPr>
          <w:rFonts w:ascii="Verdana" w:eastAsia="Times New Roman" w:hAnsi="Verdana" w:cs="Times New Roman"/>
          <w:smallCaps/>
          <w:sz w:val="20"/>
          <w:szCs w:val="20"/>
          <w:lang w:eastAsia="bg-BG"/>
        </w:rPr>
        <w:t>от Красимир Чакъров – заместник-министър на земеделието и храните</w:t>
      </w:r>
    </w:p>
    <w:p w:rsidR="00B62A0D" w:rsidRPr="00B62A0D" w:rsidRDefault="00B62A0D" w:rsidP="00B62A0D">
      <w:pPr>
        <w:widowControl w:val="0"/>
        <w:autoSpaceDE w:val="0"/>
        <w:autoSpaceDN w:val="0"/>
        <w:adjustRightInd w:val="0"/>
        <w:spacing w:after="0" w:line="360" w:lineRule="auto"/>
        <w:ind w:left="1162" w:hanging="1162"/>
        <w:jc w:val="both"/>
        <w:rPr>
          <w:rFonts w:ascii="Verdana" w:eastAsia="Times New Roman" w:hAnsi="Verdana" w:cs="Times New Roman"/>
          <w:bCs/>
          <w:sz w:val="20"/>
          <w:szCs w:val="20"/>
          <w:lang w:eastAsia="bg-BG"/>
        </w:rPr>
      </w:pPr>
    </w:p>
    <w:p w:rsidR="00B62A0D" w:rsidRPr="00B62A0D" w:rsidRDefault="00B62A0D" w:rsidP="00503F86">
      <w:pPr>
        <w:widowControl w:val="0"/>
        <w:autoSpaceDE w:val="0"/>
        <w:autoSpaceDN w:val="0"/>
        <w:adjustRightInd w:val="0"/>
        <w:spacing w:after="0" w:line="360" w:lineRule="auto"/>
        <w:ind w:left="1134" w:hanging="1134"/>
        <w:jc w:val="both"/>
        <w:rPr>
          <w:rFonts w:ascii="Verdana" w:eastAsia="Times New Roman" w:hAnsi="Verdana" w:cs="Times New Roman"/>
          <w:sz w:val="20"/>
          <w:szCs w:val="20"/>
          <w:lang w:eastAsia="bg-BG"/>
        </w:rPr>
      </w:pPr>
      <w:r w:rsidRPr="00B62A0D">
        <w:rPr>
          <w:rFonts w:ascii="Verdana" w:eastAsia="Times New Roman" w:hAnsi="Verdana" w:cs="Times New Roman"/>
          <w:b/>
          <w:bCs/>
          <w:sz w:val="20"/>
          <w:szCs w:val="20"/>
          <w:lang w:eastAsia="bg-BG"/>
        </w:rPr>
        <w:t>Относно:</w:t>
      </w:r>
      <w:r w:rsidRPr="00B62A0D">
        <w:rPr>
          <w:rFonts w:ascii="Verdana" w:eastAsia="Times New Roman" w:hAnsi="Verdana" w:cs="Times New Roman"/>
          <w:sz w:val="20"/>
          <w:szCs w:val="20"/>
          <w:lang w:eastAsia="bg-BG"/>
        </w:rPr>
        <w:t xml:space="preserve"> Правилник за изменение и допълнение на Правилника за устройството и дейността на Националната служба за съвети в земеделието</w:t>
      </w:r>
    </w:p>
    <w:p w:rsidR="00B62A0D" w:rsidRPr="00B62A0D" w:rsidRDefault="00B62A0D" w:rsidP="00E3564B">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p>
    <w:p w:rsidR="00B62A0D" w:rsidRPr="00B62A0D" w:rsidRDefault="00B62A0D" w:rsidP="00E3564B">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p>
    <w:p w:rsidR="00B62A0D" w:rsidRPr="00B62A0D" w:rsidRDefault="00B62A0D" w:rsidP="00B62A0D">
      <w:pPr>
        <w:widowControl w:val="0"/>
        <w:autoSpaceDE w:val="0"/>
        <w:autoSpaceDN w:val="0"/>
        <w:adjustRightInd w:val="0"/>
        <w:spacing w:after="120" w:line="360" w:lineRule="auto"/>
        <w:ind w:firstLine="709"/>
        <w:rPr>
          <w:rFonts w:ascii="Verdana" w:eastAsia="Times New Roman" w:hAnsi="Verdana" w:cs="Times New Roman"/>
          <w:b/>
          <w:bCs/>
          <w:caps/>
          <w:sz w:val="20"/>
          <w:szCs w:val="20"/>
          <w:lang w:eastAsia="bg-BG"/>
        </w:rPr>
      </w:pPr>
      <w:r w:rsidRPr="00B62A0D">
        <w:rPr>
          <w:rFonts w:ascii="Verdana" w:eastAsia="Times New Roman" w:hAnsi="Verdana" w:cs="Times New Roman"/>
          <w:b/>
          <w:bCs/>
          <w:caps/>
          <w:sz w:val="20"/>
          <w:szCs w:val="20"/>
          <w:lang w:eastAsia="bg-BG"/>
        </w:rPr>
        <w:t>уважаеми Господин Министър,</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На основание § 1, ал. 2 от допълнителната разпоредба на Закона за Селскостопанска</w:t>
      </w:r>
      <w:r w:rsidR="00E3564B">
        <w:rPr>
          <w:rFonts w:ascii="Verdana" w:eastAsia="Times New Roman" w:hAnsi="Verdana" w:cs="Times New Roman"/>
          <w:sz w:val="20"/>
          <w:szCs w:val="20"/>
          <w:lang w:eastAsia="bg-BG"/>
        </w:rPr>
        <w:t>та</w:t>
      </w:r>
      <w:r w:rsidRPr="00B62A0D">
        <w:rPr>
          <w:rFonts w:ascii="Verdana" w:eastAsia="Times New Roman" w:hAnsi="Verdana" w:cs="Times New Roman"/>
          <w:sz w:val="20"/>
          <w:szCs w:val="20"/>
          <w:lang w:eastAsia="bg-BG"/>
        </w:rPr>
        <w:t xml:space="preserve"> академия и чл. 11 от Закона за администрацията, внасям за одобряване Правилник за изменение и допълнение на Правилника за устройството и дейността на Националната служба за съвети в земеделието (НССЗ) </w:t>
      </w:r>
      <w:r w:rsidRPr="00B62A0D">
        <w:rPr>
          <w:rFonts w:ascii="Verdana" w:eastAsia="Times New Roman" w:hAnsi="Verdana" w:cs="Times New Roman"/>
          <w:bCs/>
          <w:iCs/>
          <w:spacing w:val="2"/>
          <w:sz w:val="20"/>
          <w:szCs w:val="20"/>
          <w:lang w:val="en-US" w:eastAsia="bg-BG"/>
        </w:rPr>
        <w:t>(</w:t>
      </w:r>
      <w:r w:rsidRPr="00B62A0D">
        <w:rPr>
          <w:rFonts w:ascii="Verdana" w:eastAsia="Times New Roman" w:hAnsi="Verdana" w:cs="Times New Roman"/>
          <w:bCs/>
          <w:iCs/>
          <w:spacing w:val="2"/>
          <w:sz w:val="20"/>
          <w:szCs w:val="20"/>
          <w:lang w:eastAsia="bg-BG"/>
        </w:rPr>
        <w:t>обн., ДВ, бр. 25 от 2022 г.; изм. и доп., бр. 100 от 2023 г.</w:t>
      </w:r>
      <w:r w:rsidRPr="00B62A0D">
        <w:rPr>
          <w:rFonts w:ascii="Verdana" w:eastAsia="Times New Roman" w:hAnsi="Verdana" w:cs="Times New Roman"/>
          <w:bCs/>
          <w:iCs/>
          <w:spacing w:val="2"/>
          <w:sz w:val="20"/>
          <w:szCs w:val="20"/>
          <w:lang w:val="en-US" w:eastAsia="bg-BG"/>
        </w:rPr>
        <w:t xml:space="preserve">, </w:t>
      </w:r>
      <w:r w:rsidRPr="00B62A0D">
        <w:rPr>
          <w:rFonts w:ascii="Verdana" w:eastAsia="Times New Roman" w:hAnsi="Verdana" w:cs="Times New Roman"/>
          <w:bCs/>
          <w:iCs/>
          <w:spacing w:val="2"/>
          <w:sz w:val="20"/>
          <w:szCs w:val="20"/>
          <w:lang w:eastAsia="bg-BG"/>
        </w:rPr>
        <w:t>бр. 32 от 2024 г.</w:t>
      </w:r>
      <w:r w:rsidRPr="00B62A0D">
        <w:rPr>
          <w:rFonts w:ascii="Verdana" w:eastAsia="Times New Roman" w:hAnsi="Verdana" w:cs="Times New Roman"/>
          <w:bCs/>
          <w:iCs/>
          <w:spacing w:val="2"/>
          <w:sz w:val="20"/>
          <w:szCs w:val="20"/>
          <w:lang w:val="en-US" w:eastAsia="bg-BG"/>
        </w:rPr>
        <w:t xml:space="preserve"> </w:t>
      </w:r>
      <w:r w:rsidRPr="00B62A0D">
        <w:rPr>
          <w:rFonts w:ascii="Verdana" w:eastAsia="Times New Roman" w:hAnsi="Verdana" w:cs="Times New Roman"/>
          <w:bCs/>
          <w:iCs/>
          <w:spacing w:val="2"/>
          <w:sz w:val="20"/>
          <w:szCs w:val="20"/>
          <w:lang w:eastAsia="bg-BG"/>
        </w:rPr>
        <w:t>и бр. 107 от 2025 г.</w:t>
      </w:r>
      <w:r w:rsidRPr="00B62A0D">
        <w:rPr>
          <w:rFonts w:ascii="Verdana" w:eastAsia="Times New Roman" w:hAnsi="Verdana" w:cs="Times New Roman"/>
          <w:bCs/>
          <w:iCs/>
          <w:spacing w:val="2"/>
          <w:sz w:val="20"/>
          <w:szCs w:val="20"/>
          <w:lang w:val="en-US" w:eastAsia="bg-BG"/>
        </w:rPr>
        <w:t>)</w:t>
      </w:r>
      <w:r w:rsidRPr="00B62A0D">
        <w:rPr>
          <w:rFonts w:ascii="Verdana" w:eastAsia="Times New Roman" w:hAnsi="Verdana" w:cs="Times New Roman"/>
          <w:sz w:val="20"/>
          <w:szCs w:val="20"/>
          <w:lang w:eastAsia="bg-BG"/>
        </w:rPr>
        <w:t>.</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highlight w:val="yellow"/>
          <w:lang w:eastAsia="bg-BG"/>
        </w:rPr>
      </w:pPr>
    </w:p>
    <w:p w:rsidR="00B62A0D" w:rsidRPr="00B62A0D" w:rsidRDefault="00B62A0D" w:rsidP="00B62A0D">
      <w:pPr>
        <w:spacing w:after="0" w:line="360" w:lineRule="auto"/>
        <w:ind w:firstLine="709"/>
        <w:jc w:val="both"/>
        <w:rPr>
          <w:rFonts w:ascii="Verdana" w:eastAsia="Times New Roman" w:hAnsi="Verdana" w:cs="Times New Roman"/>
          <w:b/>
          <w:sz w:val="20"/>
          <w:szCs w:val="20"/>
          <w:lang w:eastAsia="bg-BG"/>
        </w:rPr>
      </w:pPr>
      <w:r w:rsidRPr="00B62A0D">
        <w:rPr>
          <w:rFonts w:ascii="Verdana" w:eastAsia="Times New Roman" w:hAnsi="Verdana" w:cs="Times New Roman"/>
          <w:b/>
          <w:sz w:val="20"/>
          <w:szCs w:val="20"/>
          <w:lang w:eastAsia="bg-BG"/>
        </w:rPr>
        <w:t>Причини, които налагат приемането на нормативния акт</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 xml:space="preserve">Във връзка с приоритет 4.1. „Структурно-функционална оптимизация (2026 – 2027 г.)“, раздел 4 „Ефективна администрация“ на Програмата за управление на Република България 2026 г. – 2030 г. е разработен проект на Правилник за изменение </w:t>
      </w:r>
      <w:r w:rsidRPr="00B62A0D">
        <w:rPr>
          <w:rFonts w:ascii="Verdana" w:eastAsia="Times New Roman" w:hAnsi="Verdana" w:cs="Times New Roman"/>
          <w:sz w:val="20"/>
          <w:szCs w:val="20"/>
          <w:lang w:eastAsia="bg-BG"/>
        </w:rPr>
        <w:lastRenderedPageBreak/>
        <w:t>и допълнение на Правилника за устройството и дейността на</w:t>
      </w:r>
      <w:r w:rsidRPr="00B62A0D">
        <w:rPr>
          <w:rFonts w:ascii="Verdana" w:eastAsia="Times New Roman" w:hAnsi="Verdana" w:cs="Times New Roman"/>
          <w:color w:val="000000"/>
          <w:sz w:val="24"/>
          <w:szCs w:val="24"/>
          <w:lang w:eastAsia="bg-BG"/>
        </w:rPr>
        <w:t xml:space="preserve"> </w:t>
      </w:r>
      <w:r w:rsidRPr="00B62A0D">
        <w:rPr>
          <w:rFonts w:ascii="Verdana" w:eastAsia="Times New Roman" w:hAnsi="Verdana" w:cs="Times New Roman"/>
          <w:sz w:val="20"/>
          <w:szCs w:val="20"/>
          <w:lang w:eastAsia="bg-BG"/>
        </w:rPr>
        <w:t>Националната служба за съвети в земеделието.</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Промените, предложени с проекта на Правилник за изменение и допълнение на Правилника за устройството и дейността на НССЗ са насочени към оптимизиране на организационната структура на Службата и по-ефективно използване на човешките и финансовите ресурси.</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С Постановление на Министерския съвет №……… за приемане на Устройствен правилник на Министерството на земеделието и храните (обн., ДВ, бр. ……… 2026 г.) е изменено Постановление № 125 на Министерския съвет от 2006 г. за приемане на Устройствен правилник на Министерството на земеделието и храните, като в</w:t>
      </w:r>
      <w:r w:rsidRPr="00B62A0D">
        <w:rPr>
          <w:rFonts w:ascii="Verdana" w:eastAsia="Times New Roman" w:hAnsi="Verdana" w:cs="Times New Roman"/>
          <w:color w:val="000000"/>
          <w:sz w:val="24"/>
          <w:szCs w:val="24"/>
          <w:lang w:eastAsia="bg-BG"/>
        </w:rPr>
        <w:t xml:space="preserve"> </w:t>
      </w:r>
      <w:r w:rsidRPr="00B62A0D">
        <w:rPr>
          <w:rFonts w:ascii="Verdana" w:eastAsia="Times New Roman" w:hAnsi="Verdana" w:cs="Times New Roman"/>
          <w:sz w:val="20"/>
          <w:szCs w:val="20"/>
          <w:lang w:eastAsia="bg-BG"/>
        </w:rPr>
        <w:t>приложението към чл. 2, ал. 3 в т. 16 числото 60 е заменено с 55.</w:t>
      </w:r>
    </w:p>
    <w:p w:rsidR="00B62A0D" w:rsidRPr="00B62A0D" w:rsidRDefault="00B62A0D" w:rsidP="00B62A0D">
      <w:pPr>
        <w:spacing w:after="0" w:line="360" w:lineRule="auto"/>
        <w:ind w:firstLine="709"/>
        <w:jc w:val="both"/>
        <w:rPr>
          <w:rFonts w:ascii="Verdana" w:eastAsia="Times New Roman" w:hAnsi="Verdana" w:cs="Times New Roman"/>
          <w:sz w:val="20"/>
          <w:szCs w:val="20"/>
          <w:highlight w:val="yellow"/>
          <w:lang w:eastAsia="bg-BG"/>
        </w:rPr>
      </w:pPr>
      <w:r w:rsidRPr="00B62A0D">
        <w:rPr>
          <w:rFonts w:ascii="Verdana" w:eastAsia="Times New Roman" w:hAnsi="Verdana" w:cs="Times New Roman"/>
          <w:sz w:val="20"/>
          <w:szCs w:val="20"/>
          <w:lang w:eastAsia="bg-BG"/>
        </w:rPr>
        <w:t>Конкретните промени, които се предлагат, са насочени към оптимизиране на структурата и числеността на персонала на НССЗ с 5 щатни бройки (от 60 на 55), което при настоящия числен състав на НССЗ представлява намаление от 8.33 %. Намалението е продължение на вече намалената численост на щатния състав на НССЗ от 01.01.2026 г. с още 5 бройки, съгласно обнародваните в ДВ, бр.107 от 2025 г. промени в Правилника за устройството и дейността на НССЗ, т.е. общото намаление на числеността на НССЗ за 2026 г. се предвижда да бъде общо 10 щатни бройки – 15% спрямо щатния състав на НССЗ към 31.12.2025 г.</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4"/>
          <w:lang w:eastAsia="bg-BG"/>
        </w:rPr>
      </w:pPr>
      <w:r w:rsidRPr="00B62A0D">
        <w:rPr>
          <w:rFonts w:ascii="Verdana" w:eastAsia="Times New Roman" w:hAnsi="Verdana" w:cs="Verdana"/>
          <w:sz w:val="20"/>
          <w:szCs w:val="20"/>
          <w:lang w:eastAsia="bg-BG"/>
        </w:rPr>
        <w:t>Намалението с пет щатни бройки ще бъде направено чрез намаляване на числеността на специализирана администрация и по-специално на главна дирекция „Териториални областни офиси“ (ГД ТОО). Общата администрация на НССЗ – дирекция „Административно – финансова дейност“ беше оптимизирана в началото на 2026 г., като числеността ѝ беше намалена от 13 на 8 щатни бройки и в момента тя е на минимума необходим за нейното нормално функциониране.</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При извършването на преценката за намаляване на числеността на НССЗ беше отчетено, че действащата към настоящия момент численост на НССЗ е формирана при вече силно ограничен кадрови ресурс спрямо обема, териториалния обхват и характера на възложените на Службата функции. Националната служба за съвети в земеделието изпълнява широк кръг от постоянни и проектни дейности, включително предоставяне на съвети и съветнически услуги, дейности по Стратегическия план за развитие на земеделието и селските райони (СПРЗСР) 2023 – 2027 г., обучения, информационни събития, дейности по AKIS, администриране и отчитане на договори и проекти, като част от териториалните структури и към настоящия момент функционират с непълен състав.</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 xml:space="preserve">Също така беше взето предвид, че при всички обосновки и материали представяни на ЕК в т.ч. по Програмата за развитие на селските райони 2014 – 2020 г (ПРСР 2014 – 2020 г.) и по СПРЗСР 2023 – 2027 г., свързани с подпомагане на засилването на капацитета на НССЗ в е отбелязвано, че в момента наличния капацитет на Службата в т.ч. на териториалните областни офиси е недостатъчен и по тази </w:t>
      </w:r>
      <w:r w:rsidRPr="00B62A0D">
        <w:rPr>
          <w:rFonts w:ascii="Verdana" w:eastAsia="Times New Roman" w:hAnsi="Verdana" w:cs="Verdana"/>
          <w:sz w:val="20"/>
          <w:szCs w:val="20"/>
          <w:lang w:eastAsia="bg-BG"/>
        </w:rPr>
        <w:lastRenderedPageBreak/>
        <w:t>причина се налага с европейски средства да бъде засилен капацитета на Службата. В голяма част ТОО функционират в непълен състав – при минимум от 3-ма служители (агроном, зооинженер и аграрен икономист), същите работят основно с по 1 щатен служител, а в момента и два ТОО работят временно и без щатни служители. Въпреки, че съставът на тези офиси се допълва и от един или двама експерти наети на срочни трудови договори по Постановление № 185 на Министерския съвет от 2011 г. (ПМС № 185/2011 г.), работата на ниво ТОО е силно затруднена, тъй като съгласно ПМС № 185/2011 г. експертите назначени на срочни трудови договори могат единствено да изпълняват дейности по СПРЗСР 2023 – 2027 г. т.е. тези експерти нямат право да покриват всички потребности от съвети на земеделските стопанства.</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Във връзка с горното, като се взе предвид и спецификата на дейността на НССЗ, териториалната структура на Службата, изпълняваните ангажименти по СПРЗСР 2023 – 2027 г., действащите административни договори, договорите за предоставяне на съветнически услуги и другите проекти, както и необходимостта да бъде запазен достатъчен експертен капацитет както на централно, така и на областно ниво, е предвиден вариант за намаляване на щатните бройки на НССЗ на 55, без да се освобождават заети служители вследствие на самото намаление.</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При този вариант наред с намаляването на числеността се предлага функционално преструктуриране на част от дейностите, изпълнявани понастоящем от експертите на ГД ТОО при Централното управление на НССЗ с цел използване на двете незаети щатни бройки в Д АПИО.</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Анализът на действащите вътрешни правила показва, че експертите на</w:t>
      </w:r>
      <w:r w:rsidR="00503F86">
        <w:rPr>
          <w:rFonts w:ascii="Verdana" w:eastAsia="Times New Roman" w:hAnsi="Verdana" w:cs="Verdana"/>
          <w:sz w:val="20"/>
          <w:szCs w:val="20"/>
          <w:lang w:eastAsia="bg-BG"/>
        </w:rPr>
        <w:br/>
      </w:r>
      <w:r w:rsidRPr="00B62A0D">
        <w:rPr>
          <w:rFonts w:ascii="Verdana" w:eastAsia="Times New Roman" w:hAnsi="Verdana" w:cs="Verdana"/>
          <w:sz w:val="20"/>
          <w:szCs w:val="20"/>
          <w:lang w:eastAsia="bg-BG"/>
        </w:rPr>
        <w:t>ГД ТОО при ЦУ изпълняват наред с други дейности и централизирани функции по обработване и проверяване на документи, поддържане на централни регистри, подпомагане подготовката на заявки за плащане, обработване на информация от Държавен фонд „Земеделие“ – Разплащателна агенция (ДФЗ – РА), както и извършване на технически проверки на данните и текущ контрол върху отчетната информация от ТОО. Конкретната организация на дейностите по обработване и проверяване на документи, поддържане на регистри, подготовка на заявки и искания за плащане и свързаната с тях отчетност ще бъде уредена с вътрешни правила и длъжностни характеристики в рамките на нормативно определените функции на съответните административни звена. С оглед характера на тези дейности се предлага функциите по администриране на договори и проекти, вътрешна административна и техническа проверка на документи, подготовка и комплектуване на искания/заявки за плащане и свързаната с тях отчетност да бъде уредена с вътрешни правила и длъжностни характеристики в рамките на нормативно определените функции на съответните административни звена. И към настоящия момент тези дейности са конкретно възложени чрез вътрешните правила и длъжностни характеристики.</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 xml:space="preserve">С оглед характера на тези дейности се предлага функциите по администриране на договори и проекти, вътрешна административна и техническа </w:t>
      </w:r>
      <w:r w:rsidRPr="00B62A0D">
        <w:rPr>
          <w:rFonts w:ascii="Verdana" w:eastAsia="Times New Roman" w:hAnsi="Verdana" w:cs="Verdana"/>
          <w:sz w:val="20"/>
          <w:szCs w:val="20"/>
          <w:lang w:eastAsia="bg-BG"/>
        </w:rPr>
        <w:lastRenderedPageBreak/>
        <w:t>проверка на документи, подготовка и комплектоване на искания/заявки за плащане и свързаната с тях отчетност да бъде прехвърлен към дирекция „Анализиране, планиране и информационно осигуряване“(Д АПИО). По този начин в ГД ТОО се концентрират функциите по териториалната съветническа дейност в т.ч. предоставянето на съветническите пакети и непосредствената работа с ТОО, а в дирекция АПИО – централизираното администриране, проследяване и отчитане на договори и проекти.</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За обезпечаването на горното предложение се предвижда две щатни бройки от ГД ТОО при ЦУ да бъдат преразпределени към дирекция АПИО. Това преразпределение не представлява намаляване на общата численост, а вътрешно функционално преструктуриране. Същевременно се предлага да бъдат съкратени три незаети щатни бройки в ГД ТОО – предварително идентифицирани в ТОО Бургас, Монтана и Ямбол – и две незаети щатни бройки в дирекция АПИО, с което се постига отново общото намаление с пет щатни бройки.</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При този вариант числеността на ГД ТОО се намалява от 35 на 30 щатни бройки, а числеността на дирекция АПИО след прехвърлянето на двете бройки и съкращаването на две незаети длъжности се определя отново на 11 щатни бройки. Общата численост на специализираната администрация се намалява от 49 на 44 щатни бройки, а общата численост на НССЗ – от 60 на 55 щатни бройки.</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Предимството на този вариант е, че се запазва по-голяма част от щатния капацитет в териториалната мрежа и в почти всеки един ТОО ще има по един щатен служител.</w:t>
      </w:r>
    </w:p>
    <w:p w:rsidR="00B62A0D" w:rsidRPr="00B62A0D" w:rsidRDefault="00B62A0D" w:rsidP="00B62A0D">
      <w:pPr>
        <w:widowControl w:val="0"/>
        <w:autoSpaceDE w:val="0"/>
        <w:autoSpaceDN w:val="0"/>
        <w:adjustRightInd w:val="0"/>
        <w:spacing w:after="0" w:line="360" w:lineRule="auto"/>
        <w:ind w:firstLine="856"/>
        <w:jc w:val="both"/>
        <w:rPr>
          <w:rFonts w:ascii="Verdana" w:eastAsia="Times New Roman" w:hAnsi="Verdana" w:cs="Verdana"/>
          <w:sz w:val="20"/>
          <w:szCs w:val="20"/>
          <w:lang w:eastAsia="bg-BG"/>
        </w:rPr>
      </w:pPr>
      <w:r w:rsidRPr="00B62A0D">
        <w:rPr>
          <w:rFonts w:ascii="Verdana" w:eastAsia="Times New Roman" w:hAnsi="Verdana" w:cs="Verdana"/>
          <w:sz w:val="20"/>
          <w:szCs w:val="20"/>
          <w:lang w:eastAsia="bg-BG"/>
        </w:rPr>
        <w:t xml:space="preserve">След влизането в сила на проекта на Правилник за изменение и допълнение на Правилника за устройството и дейността на НССЗ, изпълнителният директор на НССЗ ще утвърди ново длъжностно и поименно разписание и актуализирани длъжностни характеристики. Когато двете длъжности в Д АПИО следва да бъдат заети от настоящи държавни служители в ЦУ на ГД ТОО, преназначаването им ще се извърши по приложимия ред на Закона за държавния служител, след установяване на съответствието им с изискванията за длъжността и при наличие на изискуемото писмено съгласие. </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В Правилника за устройството и дейността на НССЗ се отразяват и промените свързани с приключване на дейностите на НССЗ по Програмата за развитие на селските райони (ПРСР) 2014 – 2020 г., както и продължаването на функционирането на мобилните общински офиси на НССЗ, съгласно одобреното проектно предложение на службата по процедурата чрез подбор „Подкрепа за разширяване на капацитета на НССЗ за предоставяне на съветнически услуги“ по интервенция II.И.1 „Консултантски услуги и повишаване на консултантския капацитет“ от Стратегическия план за развитие на земеделието и селските райони на Република България за периода 2023 – 2027 г. (СПРЗСР 2023 – 2027 г.).</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lastRenderedPageBreak/>
        <w:t>В „Държавен вестник“ бр. 78 от 2026 г. са публикувани изменения в Закона за държавния служител. Съгласно чл. 7а, ал. 2 органът по назначаване в съответната администрация определя със заповед длъжностите с висок корупционен риск. В тази връзка е добавена нова функция на изпълнителния директор на НССЗ. В допълнение в разпоредбата на чл. 51а от същия закон се дава възможност за до два дни работа от разстояние. В тази връзка в Правилника за устройството и дейността на НССЗ са създадени съответните разпоредби.</w:t>
      </w:r>
    </w:p>
    <w:p w:rsidR="00B62A0D" w:rsidRPr="00B62A0D" w:rsidRDefault="00B62A0D" w:rsidP="00B62A0D">
      <w:pPr>
        <w:spacing w:after="0" w:line="360" w:lineRule="auto"/>
        <w:ind w:firstLine="709"/>
        <w:jc w:val="both"/>
        <w:rPr>
          <w:rFonts w:ascii="Verdana" w:eastAsia="Times New Roman" w:hAnsi="Verdana" w:cs="Times New Roman"/>
          <w:sz w:val="20"/>
          <w:szCs w:val="20"/>
          <w:highlight w:val="yellow"/>
          <w:lang w:eastAsia="bg-BG"/>
        </w:rPr>
      </w:pPr>
    </w:p>
    <w:p w:rsidR="00B62A0D" w:rsidRPr="00B62A0D" w:rsidRDefault="00B62A0D" w:rsidP="00B62A0D">
      <w:pPr>
        <w:spacing w:after="0" w:line="360" w:lineRule="auto"/>
        <w:ind w:firstLine="709"/>
        <w:jc w:val="both"/>
        <w:rPr>
          <w:rFonts w:ascii="Verdana" w:eastAsia="Times New Roman" w:hAnsi="Verdana" w:cs="Times New Roman"/>
          <w:b/>
          <w:sz w:val="20"/>
          <w:szCs w:val="20"/>
          <w:lang w:eastAsia="bg-BG"/>
        </w:rPr>
      </w:pPr>
      <w:r w:rsidRPr="00B62A0D">
        <w:rPr>
          <w:rFonts w:ascii="Verdana" w:eastAsia="Times New Roman" w:hAnsi="Verdana" w:cs="Times New Roman"/>
          <w:b/>
          <w:sz w:val="20"/>
          <w:szCs w:val="20"/>
          <w:lang w:eastAsia="bg-BG"/>
        </w:rPr>
        <w:t>Цели</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 привеждане на Правилника за устройството и дейността на Националната служба за съвети в земеделието в съответствие с приоритет 4.1. „Структурно-функционална оптимизация (2026 – 2027 г.)“ на раздел 4 „Ефективна администрация“ на Програмата за управление на Република България 2026 г. – 2030 г.;</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 ускорен трансфер на знания и иновации чрез допълване на дейностите на дирекция АПИО;</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 оптимално използване на човешките ресурси и повишаване ефективността на административната дейност;</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highlight w:val="yellow"/>
          <w:lang w:eastAsia="bg-BG"/>
        </w:rPr>
      </w:pP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b/>
          <w:sz w:val="20"/>
          <w:szCs w:val="20"/>
          <w:lang w:eastAsia="bg-BG"/>
        </w:rPr>
      </w:pPr>
      <w:r w:rsidRPr="00B62A0D">
        <w:rPr>
          <w:rFonts w:ascii="Verdana" w:eastAsia="Times New Roman" w:hAnsi="Verdana" w:cs="Times New Roman"/>
          <w:b/>
          <w:sz w:val="20"/>
          <w:szCs w:val="20"/>
          <w:lang w:eastAsia="bg-BG"/>
        </w:rPr>
        <w:t>Финансови и други средства, необходими за прилагането на новата уредба</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За приемането на Правилника за изменение и допълнение на Правилника за устройството и дейността на Националната служба за съвети в земеделието не са необходими допълнителни средства.</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С акта не се предвиждат допълнителни разходи/трансфери/други плащания, които се предлагат да бъдат одобрени по бюджета на НССЗ, респективно на МЗХ или по сметка на средства от Европейския съюз, за сметка на бюджети по държавния бюджет за 2026 г. и следващите бюджетни години.</w:t>
      </w:r>
    </w:p>
    <w:p w:rsidR="00B62A0D" w:rsidRPr="00B62A0D" w:rsidRDefault="00B62A0D" w:rsidP="00B62A0D">
      <w:pPr>
        <w:spacing w:after="0" w:line="360" w:lineRule="auto"/>
        <w:ind w:firstLine="709"/>
        <w:jc w:val="both"/>
        <w:rPr>
          <w:rFonts w:ascii="Verdana" w:eastAsia="Times New Roman" w:hAnsi="Verdana" w:cs="Times New Roman"/>
          <w:sz w:val="20"/>
          <w:szCs w:val="20"/>
          <w:highlight w:val="yellow"/>
          <w:lang w:eastAsia="bg-BG"/>
        </w:rPr>
      </w:pPr>
    </w:p>
    <w:p w:rsidR="00B62A0D" w:rsidRPr="00B62A0D" w:rsidRDefault="00B62A0D" w:rsidP="00B62A0D">
      <w:pPr>
        <w:spacing w:after="0" w:line="360" w:lineRule="auto"/>
        <w:ind w:firstLine="709"/>
        <w:jc w:val="both"/>
        <w:rPr>
          <w:rFonts w:ascii="Verdana" w:eastAsia="Times New Roman" w:hAnsi="Verdana" w:cs="Times New Roman"/>
          <w:b/>
          <w:strike/>
          <w:sz w:val="20"/>
          <w:szCs w:val="20"/>
          <w:lang w:eastAsia="bg-BG"/>
        </w:rPr>
      </w:pPr>
      <w:r w:rsidRPr="00B62A0D">
        <w:rPr>
          <w:rFonts w:ascii="Verdana" w:eastAsia="Times New Roman" w:hAnsi="Verdana" w:cs="Times New Roman"/>
          <w:b/>
          <w:sz w:val="20"/>
          <w:szCs w:val="20"/>
          <w:lang w:eastAsia="bg-BG"/>
        </w:rPr>
        <w:t xml:space="preserve">Очаквани резултати от прилагането на акта </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Оптимизиране на структурата и числеността на персонала чрез намаляване на числеността с 5 щатни бройки.</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По-ефективно разпределение на човешкия ресурс в специализираната администрация на НССЗ, както и по-ясно разпределение на компетентности и подобряване координацията между административните звена.</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p>
    <w:p w:rsidR="00B62A0D" w:rsidRPr="00B62A0D" w:rsidRDefault="00B62A0D" w:rsidP="00B62A0D">
      <w:pPr>
        <w:spacing w:after="0" w:line="360" w:lineRule="auto"/>
        <w:ind w:firstLine="709"/>
        <w:jc w:val="both"/>
        <w:rPr>
          <w:rFonts w:ascii="Verdana" w:eastAsia="Times New Roman" w:hAnsi="Verdana" w:cs="Times New Roman"/>
          <w:b/>
          <w:sz w:val="20"/>
          <w:szCs w:val="20"/>
          <w:lang w:eastAsia="bg-BG"/>
        </w:rPr>
      </w:pPr>
      <w:r w:rsidRPr="00B62A0D">
        <w:rPr>
          <w:rFonts w:ascii="Verdana" w:eastAsia="Times New Roman" w:hAnsi="Verdana" w:cs="Times New Roman"/>
          <w:b/>
          <w:sz w:val="20"/>
          <w:szCs w:val="20"/>
          <w:lang w:eastAsia="bg-BG"/>
        </w:rPr>
        <w:t>Анализ за съответствие с правото на Европейския съюз</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С правилника не се транспонират актове на институции на Европейския съюз, поради което не е изготвена и представена таблица на съответствието с правото на Европейския съюз.</w:t>
      </w:r>
    </w:p>
    <w:p w:rsidR="00B62A0D" w:rsidRPr="00B62A0D" w:rsidRDefault="00B62A0D" w:rsidP="00B62A0D">
      <w:pPr>
        <w:spacing w:after="0" w:line="360" w:lineRule="auto"/>
        <w:ind w:firstLine="709"/>
        <w:jc w:val="both"/>
        <w:rPr>
          <w:rFonts w:ascii="Verdana" w:eastAsia="Times New Roman" w:hAnsi="Verdana" w:cs="Times New Roman"/>
          <w:sz w:val="20"/>
          <w:szCs w:val="20"/>
          <w:lang w:eastAsia="bg-BG"/>
        </w:rPr>
      </w:pPr>
    </w:p>
    <w:p w:rsidR="00B62A0D" w:rsidRPr="00B62A0D" w:rsidRDefault="00B62A0D" w:rsidP="00B62A0D">
      <w:pPr>
        <w:spacing w:after="0" w:line="360" w:lineRule="auto"/>
        <w:ind w:firstLine="709"/>
        <w:jc w:val="both"/>
        <w:rPr>
          <w:rFonts w:ascii="Verdana" w:eastAsia="Times New Roman" w:hAnsi="Verdana" w:cs="Times New Roman"/>
          <w:b/>
          <w:sz w:val="20"/>
          <w:szCs w:val="20"/>
          <w:lang w:eastAsia="bg-BG"/>
        </w:rPr>
      </w:pPr>
      <w:r w:rsidRPr="00B62A0D">
        <w:rPr>
          <w:rFonts w:ascii="Verdana" w:eastAsia="Times New Roman" w:hAnsi="Verdana" w:cs="Times New Roman"/>
          <w:b/>
          <w:sz w:val="20"/>
          <w:szCs w:val="20"/>
          <w:lang w:eastAsia="bg-BG"/>
        </w:rPr>
        <w:lastRenderedPageBreak/>
        <w:t>Информация за проведените обществени консултации</w:t>
      </w:r>
    </w:p>
    <w:p w:rsidR="00B62A0D" w:rsidRPr="00B62A0D" w:rsidRDefault="00B62A0D" w:rsidP="00B62A0D">
      <w:pPr>
        <w:widowControl w:val="0"/>
        <w:autoSpaceDE w:val="0"/>
        <w:autoSpaceDN w:val="0"/>
        <w:adjustRightInd w:val="0"/>
        <w:spacing w:after="0" w:line="360" w:lineRule="auto"/>
        <w:ind w:firstLine="720"/>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На основание чл. 26, ал. 3 и ал. 4 от Закона за нормативните актове проектите на правилник и доклад (мотиви) са публикувани за обществени консултации на интернет страницата на Министерството на земеделието и храните и на Портала за обществени консултации със срок за предложения и становища 30 дни.</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В изпълнение на чл. 26, ал. 5 от Закона за нормативните актове, справката за отразяване на постъпилите предложения и становища от обществените консултации,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Проектът е съгласуван в съответствие с разпоредбите на Правилата за изготвяне и съгласуване на проекти на актове в системата на Министерството на земеделието и храните. Направените целесъобразни бележки и предложения са приети и отразени.</w:t>
      </w:r>
    </w:p>
    <w:p w:rsidR="00B62A0D" w:rsidRPr="00B62A0D" w:rsidRDefault="00B62A0D" w:rsidP="00B62A0D">
      <w:pPr>
        <w:widowControl w:val="0"/>
        <w:autoSpaceDE w:val="0"/>
        <w:autoSpaceDN w:val="0"/>
        <w:adjustRightInd w:val="0"/>
        <w:spacing w:after="0" w:line="360" w:lineRule="auto"/>
        <w:ind w:firstLine="709"/>
        <w:rPr>
          <w:rFonts w:ascii="Verdana" w:eastAsia="Times New Roman" w:hAnsi="Verdana" w:cs="Times New Roman"/>
          <w:bCs/>
          <w:sz w:val="20"/>
          <w:szCs w:val="20"/>
          <w:lang w:eastAsia="bg-BG"/>
        </w:rPr>
      </w:pPr>
    </w:p>
    <w:p w:rsidR="00B62A0D" w:rsidRPr="00B62A0D" w:rsidRDefault="00B62A0D" w:rsidP="00B62A0D">
      <w:pPr>
        <w:widowControl w:val="0"/>
        <w:autoSpaceDE w:val="0"/>
        <w:autoSpaceDN w:val="0"/>
        <w:adjustRightInd w:val="0"/>
        <w:spacing w:after="120" w:line="360" w:lineRule="auto"/>
        <w:ind w:firstLine="709"/>
        <w:rPr>
          <w:rFonts w:ascii="Verdana" w:eastAsia="Times New Roman" w:hAnsi="Verdana" w:cs="Times New Roman"/>
          <w:b/>
          <w:bCs/>
          <w:caps/>
          <w:sz w:val="20"/>
          <w:szCs w:val="20"/>
          <w:lang w:eastAsia="bg-BG"/>
        </w:rPr>
      </w:pPr>
      <w:r w:rsidRPr="00B62A0D">
        <w:rPr>
          <w:rFonts w:ascii="Verdana" w:eastAsia="Times New Roman" w:hAnsi="Verdana" w:cs="Times New Roman"/>
          <w:b/>
          <w:bCs/>
          <w:caps/>
          <w:sz w:val="20"/>
          <w:szCs w:val="20"/>
          <w:lang w:eastAsia="bg-BG"/>
        </w:rPr>
        <w:t>уважаеми ГОСПОДИН Министър,</w:t>
      </w:r>
    </w:p>
    <w:p w:rsidR="00B62A0D" w:rsidRPr="00B62A0D" w:rsidRDefault="00B62A0D" w:rsidP="00B62A0D">
      <w:pPr>
        <w:widowControl w:val="0"/>
        <w:autoSpaceDE w:val="0"/>
        <w:autoSpaceDN w:val="0"/>
        <w:adjustRightInd w:val="0"/>
        <w:spacing w:after="0" w:line="360" w:lineRule="auto"/>
        <w:ind w:right="-2" w:firstLine="709"/>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Във връзка с гореизложеното и на основание § 1, ал. 2 от допълнителната разпоредба на Закона за Селскостопанска</w:t>
      </w:r>
      <w:r w:rsidR="008A300F">
        <w:rPr>
          <w:rFonts w:ascii="Verdana" w:eastAsia="Times New Roman" w:hAnsi="Verdana" w:cs="Times New Roman"/>
          <w:sz w:val="20"/>
          <w:szCs w:val="20"/>
          <w:lang w:eastAsia="bg-BG"/>
        </w:rPr>
        <w:t>та</w:t>
      </w:r>
      <w:r w:rsidRPr="00B62A0D">
        <w:rPr>
          <w:rFonts w:ascii="Verdana" w:eastAsia="Times New Roman" w:hAnsi="Verdana" w:cs="Times New Roman"/>
          <w:sz w:val="20"/>
          <w:szCs w:val="20"/>
          <w:lang w:eastAsia="bg-BG"/>
        </w:rPr>
        <w:t xml:space="preserve"> академия и чл. 11 от Закона за администрацията предлагам да одобрите приложения Правилник за изменение и допълнение на Правилника за устройството и дейността на Националната служба за съвети в земеделието.</w:t>
      </w:r>
    </w:p>
    <w:p w:rsidR="00B62A0D" w:rsidRPr="00B62A0D" w:rsidRDefault="00B62A0D" w:rsidP="00B62A0D">
      <w:pPr>
        <w:widowControl w:val="0"/>
        <w:autoSpaceDE w:val="0"/>
        <w:autoSpaceDN w:val="0"/>
        <w:adjustRightInd w:val="0"/>
        <w:spacing w:after="0" w:line="360" w:lineRule="auto"/>
        <w:ind w:firstLine="709"/>
        <w:jc w:val="both"/>
        <w:rPr>
          <w:rFonts w:ascii="Verdana" w:eastAsia="Times New Roman" w:hAnsi="Verdana" w:cs="Times New Roman"/>
          <w:sz w:val="20"/>
          <w:szCs w:val="20"/>
          <w:lang w:eastAsia="bg-BG"/>
        </w:rPr>
      </w:pPr>
    </w:p>
    <w:tbl>
      <w:tblPr>
        <w:tblW w:w="8546" w:type="dxa"/>
        <w:tblInd w:w="668" w:type="dxa"/>
        <w:tblLook w:val="01E0" w:firstRow="1" w:lastRow="1" w:firstColumn="1" w:lastColumn="1" w:noHBand="0" w:noVBand="0"/>
      </w:tblPr>
      <w:tblGrid>
        <w:gridCol w:w="1781"/>
        <w:gridCol w:w="6765"/>
      </w:tblGrid>
      <w:tr w:rsidR="00B62A0D" w:rsidRPr="00B62A0D" w:rsidTr="00511864">
        <w:tc>
          <w:tcPr>
            <w:tcW w:w="1781" w:type="dxa"/>
          </w:tcPr>
          <w:p w:rsidR="00B62A0D" w:rsidRPr="00B62A0D" w:rsidRDefault="00B62A0D" w:rsidP="00B62A0D">
            <w:pPr>
              <w:widowControl w:val="0"/>
              <w:autoSpaceDE w:val="0"/>
              <w:autoSpaceDN w:val="0"/>
              <w:adjustRightInd w:val="0"/>
              <w:spacing w:after="0" w:line="360" w:lineRule="auto"/>
              <w:rPr>
                <w:rFonts w:ascii="Verdana" w:eastAsia="Times New Roman" w:hAnsi="Verdana" w:cs="Times New Roman"/>
                <w:bCs/>
                <w:sz w:val="20"/>
                <w:szCs w:val="20"/>
                <w:lang w:eastAsia="bg-BG"/>
              </w:rPr>
            </w:pPr>
            <w:r w:rsidRPr="00B62A0D">
              <w:rPr>
                <w:rFonts w:ascii="Verdana" w:eastAsia="Times New Roman" w:hAnsi="Verdana" w:cs="Times New Roman"/>
                <w:b/>
                <w:bCs/>
                <w:sz w:val="20"/>
                <w:szCs w:val="20"/>
                <w:lang w:eastAsia="bg-BG"/>
              </w:rPr>
              <w:t>Приложение:</w:t>
            </w:r>
          </w:p>
        </w:tc>
        <w:tc>
          <w:tcPr>
            <w:tcW w:w="6765" w:type="dxa"/>
          </w:tcPr>
          <w:p w:rsidR="00B62A0D" w:rsidRPr="00B62A0D" w:rsidRDefault="00B62A0D" w:rsidP="00B62A0D">
            <w:pPr>
              <w:widowControl w:val="0"/>
              <w:numPr>
                <w:ilvl w:val="0"/>
                <w:numId w:val="1"/>
              </w:numPr>
              <w:autoSpaceDE w:val="0"/>
              <w:autoSpaceDN w:val="0"/>
              <w:adjustRightInd w:val="0"/>
              <w:spacing w:after="0" w:line="360" w:lineRule="auto"/>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Проект на Правилник за изменение и допълнение на Правилника за устройството и дейността на Националната служба за съвети в земеделието;</w:t>
            </w:r>
          </w:p>
          <w:p w:rsidR="00B62A0D" w:rsidRPr="00B62A0D" w:rsidRDefault="00B62A0D" w:rsidP="00B62A0D">
            <w:pPr>
              <w:widowControl w:val="0"/>
              <w:numPr>
                <w:ilvl w:val="0"/>
                <w:numId w:val="1"/>
              </w:numPr>
              <w:autoSpaceDE w:val="0"/>
              <w:autoSpaceDN w:val="0"/>
              <w:adjustRightInd w:val="0"/>
              <w:spacing w:after="0" w:line="360" w:lineRule="auto"/>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Справка за отразяване на постъпилите становища;</w:t>
            </w:r>
          </w:p>
          <w:p w:rsidR="00B62A0D" w:rsidRPr="00B62A0D" w:rsidRDefault="00B62A0D" w:rsidP="00B62A0D">
            <w:pPr>
              <w:widowControl w:val="0"/>
              <w:numPr>
                <w:ilvl w:val="0"/>
                <w:numId w:val="1"/>
              </w:numPr>
              <w:autoSpaceDE w:val="0"/>
              <w:autoSpaceDN w:val="0"/>
              <w:adjustRightInd w:val="0"/>
              <w:spacing w:after="0" w:line="360" w:lineRule="auto"/>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Постъпилите становища;</w:t>
            </w:r>
          </w:p>
          <w:p w:rsidR="00B62A0D" w:rsidRPr="00B62A0D" w:rsidRDefault="00B62A0D" w:rsidP="00B62A0D">
            <w:pPr>
              <w:widowControl w:val="0"/>
              <w:numPr>
                <w:ilvl w:val="0"/>
                <w:numId w:val="1"/>
              </w:numPr>
              <w:autoSpaceDE w:val="0"/>
              <w:autoSpaceDN w:val="0"/>
              <w:adjustRightInd w:val="0"/>
              <w:spacing w:after="0" w:line="360" w:lineRule="auto"/>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Справка за отразяване на постъпилите предложения и становища от обществените консултация, заедно с обосновка за неприетите предложения;</w:t>
            </w:r>
          </w:p>
          <w:p w:rsidR="00B62A0D" w:rsidRPr="00B62A0D" w:rsidRDefault="00B62A0D" w:rsidP="00B62A0D">
            <w:pPr>
              <w:widowControl w:val="0"/>
              <w:numPr>
                <w:ilvl w:val="0"/>
                <w:numId w:val="1"/>
              </w:numPr>
              <w:autoSpaceDE w:val="0"/>
              <w:autoSpaceDN w:val="0"/>
              <w:adjustRightInd w:val="0"/>
              <w:spacing w:after="0" w:line="360" w:lineRule="auto"/>
              <w:jc w:val="both"/>
              <w:rPr>
                <w:rFonts w:ascii="Verdana" w:eastAsia="Times New Roman" w:hAnsi="Verdana" w:cs="Times New Roman"/>
                <w:sz w:val="20"/>
                <w:szCs w:val="20"/>
                <w:lang w:eastAsia="bg-BG"/>
              </w:rPr>
            </w:pPr>
            <w:r w:rsidRPr="00B62A0D">
              <w:rPr>
                <w:rFonts w:ascii="Verdana" w:eastAsia="Times New Roman" w:hAnsi="Verdana" w:cs="Times New Roman"/>
                <w:sz w:val="20"/>
                <w:szCs w:val="20"/>
                <w:lang w:eastAsia="bg-BG"/>
              </w:rPr>
              <w:t>Постъпилите предложения и становища от обществената консултация.</w:t>
            </w:r>
          </w:p>
        </w:tc>
      </w:tr>
    </w:tbl>
    <w:p w:rsidR="00B62A0D" w:rsidRPr="00B62A0D" w:rsidRDefault="00B62A0D" w:rsidP="00B62A0D">
      <w:pPr>
        <w:widowControl w:val="0"/>
        <w:autoSpaceDE w:val="0"/>
        <w:autoSpaceDN w:val="0"/>
        <w:adjustRightInd w:val="0"/>
        <w:spacing w:after="0" w:line="360" w:lineRule="auto"/>
        <w:jc w:val="both"/>
        <w:rPr>
          <w:rFonts w:ascii="Verdana" w:eastAsia="Times New Roman" w:hAnsi="Verdana" w:cs="Times New Roman"/>
          <w:sz w:val="20"/>
          <w:szCs w:val="20"/>
          <w:lang w:eastAsia="bg-BG"/>
        </w:rPr>
      </w:pPr>
    </w:p>
    <w:p w:rsidR="00D20515" w:rsidRPr="00503F86" w:rsidRDefault="00995566" w:rsidP="00503F86">
      <w:pPr>
        <w:widowControl w:val="0"/>
        <w:autoSpaceDE w:val="0"/>
        <w:autoSpaceDN w:val="0"/>
        <w:adjustRightInd w:val="0"/>
        <w:spacing w:after="0" w:line="360" w:lineRule="auto"/>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pict>
          <v:shape id="_x0000_i1027" type="#_x0000_t75" alt="Ред за подпис, неподписано" style="width:192.75pt;height:95.25pt">
            <v:imagedata r:id="rId9" o:title=""/>
            <o:lock v:ext="edit" ungrouping="t" rotation="t" cropping="t" verticies="t" text="t" grouping="t"/>
            <o:signatureline v:ext="edit" id="{A123CF9F-1A39-4070-AA25-E620F8D7130D}" provid="{00000000-0000-0000-0000-000000000000}" o:suggestedsigner="КРАСИМИР ЧАКЪРОВ" o:suggestedsigner2="Заместник-министър" issignatureline="t"/>
          </v:shape>
        </w:pict>
      </w:r>
    </w:p>
    <w:sectPr w:rsidR="00D20515" w:rsidRPr="00503F86">
      <w:footerReference w:type="default" r:id="rId10"/>
      <w:headerReference w:type="first" r:id="rId11"/>
      <w:pgSz w:w="11905" w:h="16837" w:code="9"/>
      <w:pgMar w:top="1134" w:right="1134" w:bottom="567" w:left="1701" w:header="709" w:footer="709"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464" w:rsidRDefault="001A1464" w:rsidP="00B62A0D">
      <w:pPr>
        <w:spacing w:after="0" w:line="240" w:lineRule="auto"/>
      </w:pPr>
      <w:r>
        <w:separator/>
      </w:r>
    </w:p>
  </w:endnote>
  <w:endnote w:type="continuationSeparator" w:id="0">
    <w:p w:rsidR="001A1464" w:rsidRDefault="001A1464" w:rsidP="00B6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latinum Bg">
    <w:altName w:val="Times New Roman"/>
    <w:panose1 w:val="00000000000000000000"/>
    <w:charset w:val="CC"/>
    <w:family w:val="auto"/>
    <w:notTrueType/>
    <w:pitch w:val="variable"/>
    <w:sig w:usb0="00000203" w:usb1="00000000" w:usb2="00000000" w:usb3="00000000" w:csb0="00000005" w:csb1="00000000"/>
  </w:font>
  <w:font w:name="Timok">
    <w:altName w:val="Arial"/>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CC7" w:rsidRPr="001537B2" w:rsidRDefault="00B62A0D">
    <w:pPr>
      <w:pStyle w:val="a3"/>
      <w:jc w:val="right"/>
    </w:pPr>
    <w:r w:rsidRPr="00630D38">
      <w:rPr>
        <w:rFonts w:ascii="Verdana" w:hAnsi="Verdana"/>
        <w:sz w:val="16"/>
        <w:szCs w:val="16"/>
      </w:rPr>
      <w:fldChar w:fldCharType="begin"/>
    </w:r>
    <w:r w:rsidRPr="00630D38">
      <w:rPr>
        <w:rFonts w:ascii="Verdana" w:hAnsi="Verdana"/>
        <w:sz w:val="16"/>
        <w:szCs w:val="16"/>
      </w:rPr>
      <w:instrText xml:space="preserve"> PAGE   \* MERGEFORMAT </w:instrText>
    </w:r>
    <w:r w:rsidRPr="00630D38">
      <w:rPr>
        <w:rFonts w:ascii="Verdana" w:hAnsi="Verdana"/>
        <w:sz w:val="16"/>
        <w:szCs w:val="16"/>
      </w:rPr>
      <w:fldChar w:fldCharType="separate"/>
    </w:r>
    <w:r w:rsidR="00995566">
      <w:rPr>
        <w:rFonts w:ascii="Verdana" w:hAnsi="Verdana"/>
        <w:noProof/>
        <w:sz w:val="16"/>
        <w:szCs w:val="16"/>
      </w:rPr>
      <w:t>2</w:t>
    </w:r>
    <w:r w:rsidRPr="00630D38">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464" w:rsidRDefault="001A1464" w:rsidP="00B62A0D">
      <w:pPr>
        <w:spacing w:after="0" w:line="240" w:lineRule="auto"/>
      </w:pPr>
      <w:r>
        <w:separator/>
      </w:r>
    </w:p>
  </w:footnote>
  <w:footnote w:type="continuationSeparator" w:id="0">
    <w:p w:rsidR="001A1464" w:rsidRDefault="001A1464" w:rsidP="00B62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D" w:rsidRPr="00B62A0D" w:rsidRDefault="00E3564B" w:rsidP="00B62A0D">
    <w:pPr>
      <w:widowControl w:val="0"/>
      <w:tabs>
        <w:tab w:val="center" w:pos="4320"/>
        <w:tab w:val="right" w:pos="8640"/>
      </w:tabs>
      <w:overflowPunct w:val="0"/>
      <w:autoSpaceDE w:val="0"/>
      <w:autoSpaceDN w:val="0"/>
      <w:adjustRightInd w:val="0"/>
      <w:spacing w:after="0" w:line="240" w:lineRule="auto"/>
      <w:jc w:val="right"/>
      <w:textAlignment w:val="baseline"/>
      <w:rPr>
        <w:rFonts w:ascii="Verdana" w:eastAsia="Times New Roman" w:hAnsi="Verdana" w:cs="Verdana"/>
        <w:sz w:val="16"/>
        <w:szCs w:val="16"/>
        <w:lang w:eastAsia="bg-BG"/>
      </w:rPr>
    </w:pPr>
    <w:r w:rsidRPr="00B62A0D">
      <w:rPr>
        <w:rFonts w:ascii="Verdana" w:eastAsia="Times New Roman" w:hAnsi="Verdana" w:cs="Verdana"/>
        <w:noProof/>
        <w:sz w:val="20"/>
        <w:szCs w:val="20"/>
        <w:lang w:eastAsia="bg-BG"/>
      </w:rPr>
      <w:drawing>
        <wp:anchor distT="0" distB="0" distL="114300" distR="114300" simplePos="0" relativeHeight="251661312" behindDoc="0" locked="0" layoutInCell="1" allowOverlap="1" wp14:anchorId="48AD85A8" wp14:editId="43ED6416">
          <wp:simplePos x="0" y="0"/>
          <wp:positionH relativeFrom="margin">
            <wp:posOffset>2306320</wp:posOffset>
          </wp:positionH>
          <wp:positionV relativeFrom="paragraph">
            <wp:posOffset>7032</wp:posOffset>
          </wp:positionV>
          <wp:extent cx="1263015" cy="126301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3015" cy="1263015"/>
                  </a:xfrm>
                  <a:prstGeom prst="rect">
                    <a:avLst/>
                  </a:prstGeom>
                  <a:noFill/>
                </pic:spPr>
              </pic:pic>
            </a:graphicData>
          </a:graphic>
          <wp14:sizeRelH relativeFrom="page">
            <wp14:pctWidth>0</wp14:pctWidth>
          </wp14:sizeRelH>
          <wp14:sizeRelV relativeFrom="page">
            <wp14:pctHeight>0</wp14:pctHeight>
          </wp14:sizeRelV>
        </wp:anchor>
      </w:drawing>
    </w:r>
    <w:r w:rsidR="00B62A0D" w:rsidRPr="00B62A0D">
      <w:rPr>
        <w:rFonts w:ascii="Verdana" w:eastAsia="Times New Roman" w:hAnsi="Verdana" w:cs="Verdana"/>
        <w:sz w:val="16"/>
        <w:szCs w:val="16"/>
        <w:lang w:eastAsia="bg-BG"/>
      </w:rPr>
      <w:t>Класификация на информацията:</w:t>
    </w:r>
  </w:p>
  <w:p w:rsidR="00B62A0D" w:rsidRPr="00B62A0D" w:rsidRDefault="00B62A0D" w:rsidP="00B62A0D">
    <w:pPr>
      <w:widowControl w:val="0"/>
      <w:tabs>
        <w:tab w:val="center" w:pos="4320"/>
        <w:tab w:val="right" w:pos="8640"/>
      </w:tabs>
      <w:overflowPunct w:val="0"/>
      <w:autoSpaceDE w:val="0"/>
      <w:autoSpaceDN w:val="0"/>
      <w:adjustRightInd w:val="0"/>
      <w:spacing w:after="0" w:line="240" w:lineRule="auto"/>
      <w:jc w:val="right"/>
      <w:textAlignment w:val="baseline"/>
      <w:rPr>
        <w:rFonts w:ascii="Verdana" w:eastAsia="Times New Roman" w:hAnsi="Verdana" w:cs="Verdana"/>
        <w:sz w:val="16"/>
        <w:szCs w:val="16"/>
        <w:lang w:val="en-US" w:eastAsia="bg-BG"/>
      </w:rPr>
    </w:pPr>
    <w:r w:rsidRPr="00B62A0D">
      <w:rPr>
        <w:rFonts w:ascii="Verdana" w:eastAsia="Times New Roman" w:hAnsi="Verdana" w:cs="Verdana"/>
        <w:sz w:val="16"/>
        <w:szCs w:val="16"/>
        <w:lang w:eastAsia="bg-BG"/>
      </w:rPr>
      <w:t>Ниво 0, TLP-</w:t>
    </w:r>
    <w:r w:rsidRPr="00B62A0D">
      <w:rPr>
        <w:rFonts w:ascii="Verdana" w:eastAsia="Times New Roman" w:hAnsi="Verdana" w:cs="Verdana"/>
        <w:sz w:val="16"/>
        <w:szCs w:val="16"/>
        <w:lang w:val="en-US" w:eastAsia="bg-BG"/>
      </w:rPr>
      <w:t>WHITE</w:t>
    </w:r>
  </w:p>
  <w:p w:rsidR="00B62A0D" w:rsidRPr="00B62A0D" w:rsidRDefault="00B62A0D" w:rsidP="00B62A0D">
    <w:pPr>
      <w:widowControl w:val="0"/>
      <w:autoSpaceDE w:val="0"/>
      <w:autoSpaceDN w:val="0"/>
      <w:adjustRightInd w:val="0"/>
      <w:spacing w:after="0" w:line="360" w:lineRule="auto"/>
      <w:jc w:val="center"/>
      <w:rPr>
        <w:rFonts w:ascii="Verdana" w:eastAsia="Times New Roman" w:hAnsi="Verdana" w:cs="Verdana"/>
        <w:sz w:val="20"/>
        <w:szCs w:val="20"/>
        <w:lang w:eastAsia="bg-BG"/>
      </w:rPr>
    </w:pPr>
  </w:p>
  <w:p w:rsidR="00B62A0D" w:rsidRPr="00B62A0D" w:rsidRDefault="00B62A0D" w:rsidP="00B62A0D">
    <w:pPr>
      <w:widowControl w:val="0"/>
      <w:autoSpaceDE w:val="0"/>
      <w:autoSpaceDN w:val="0"/>
      <w:adjustRightInd w:val="0"/>
      <w:spacing w:after="0" w:line="360" w:lineRule="auto"/>
      <w:jc w:val="center"/>
      <w:rPr>
        <w:rFonts w:ascii="Verdana" w:eastAsia="Times New Roman" w:hAnsi="Verdana" w:cs="Verdana"/>
        <w:sz w:val="20"/>
        <w:szCs w:val="20"/>
        <w:lang w:eastAsia="bg-BG"/>
      </w:rPr>
    </w:pPr>
  </w:p>
  <w:p w:rsidR="00B62A0D" w:rsidRPr="00B62A0D" w:rsidRDefault="00B62A0D" w:rsidP="00B62A0D">
    <w:pPr>
      <w:widowControl w:val="0"/>
      <w:autoSpaceDE w:val="0"/>
      <w:autoSpaceDN w:val="0"/>
      <w:adjustRightInd w:val="0"/>
      <w:spacing w:after="0" w:line="360" w:lineRule="auto"/>
      <w:jc w:val="center"/>
      <w:rPr>
        <w:rFonts w:ascii="Verdana" w:eastAsia="Times New Roman" w:hAnsi="Verdana" w:cs="Verdana"/>
        <w:sz w:val="20"/>
        <w:szCs w:val="20"/>
        <w:lang w:eastAsia="bg-BG"/>
      </w:rPr>
    </w:pPr>
  </w:p>
  <w:p w:rsidR="00B62A0D" w:rsidRPr="00B62A0D" w:rsidRDefault="00B62A0D" w:rsidP="00B62A0D">
    <w:pPr>
      <w:widowControl w:val="0"/>
      <w:autoSpaceDE w:val="0"/>
      <w:autoSpaceDN w:val="0"/>
      <w:adjustRightInd w:val="0"/>
      <w:spacing w:after="0" w:line="360" w:lineRule="auto"/>
      <w:jc w:val="center"/>
      <w:rPr>
        <w:rFonts w:ascii="Verdana" w:eastAsia="Times New Roman" w:hAnsi="Verdana" w:cs="Verdana"/>
        <w:sz w:val="20"/>
        <w:szCs w:val="20"/>
        <w:lang w:eastAsia="bg-BG"/>
      </w:rPr>
    </w:pPr>
  </w:p>
  <w:p w:rsidR="00B62A0D" w:rsidRPr="00B62A0D" w:rsidRDefault="00B62A0D" w:rsidP="00B62A0D">
    <w:pPr>
      <w:widowControl w:val="0"/>
      <w:autoSpaceDE w:val="0"/>
      <w:autoSpaceDN w:val="0"/>
      <w:adjustRightInd w:val="0"/>
      <w:spacing w:after="0" w:line="360" w:lineRule="auto"/>
      <w:jc w:val="center"/>
      <w:rPr>
        <w:rFonts w:ascii="Verdana" w:eastAsia="Times New Roman" w:hAnsi="Verdana" w:cs="Verdana"/>
        <w:sz w:val="20"/>
        <w:szCs w:val="20"/>
        <w:lang w:eastAsia="bg-BG"/>
      </w:rPr>
    </w:pPr>
  </w:p>
  <w:p w:rsidR="00B62A0D" w:rsidRPr="00B62A0D" w:rsidRDefault="00B62A0D" w:rsidP="00B62A0D">
    <w:pPr>
      <w:keepNext/>
      <w:spacing w:after="0" w:line="276" w:lineRule="auto"/>
      <w:jc w:val="center"/>
      <w:outlineLvl w:val="0"/>
      <w:rPr>
        <w:rFonts w:ascii="Verdana" w:eastAsia="Times New Roman" w:hAnsi="Verdana" w:cs="Platinum Bg"/>
        <w:spacing w:val="40"/>
        <w:kern w:val="32"/>
        <w:sz w:val="28"/>
        <w:szCs w:val="28"/>
        <w:lang w:eastAsia="bg-BG"/>
      </w:rPr>
    </w:pPr>
    <w:r w:rsidRPr="00B62A0D">
      <w:rPr>
        <w:rFonts w:ascii="Verdana" w:eastAsia="Times New Roman" w:hAnsi="Verdana" w:cs="Platinum Bg"/>
        <w:spacing w:val="40"/>
        <w:kern w:val="32"/>
        <w:sz w:val="28"/>
        <w:szCs w:val="28"/>
        <w:lang w:eastAsia="bg-BG"/>
      </w:rPr>
      <w:t>РЕПУБЛИКА БЪЛГАРИЯ</w:t>
    </w:r>
  </w:p>
  <w:p w:rsidR="00B62A0D" w:rsidRPr="00B62A0D" w:rsidRDefault="00B62A0D" w:rsidP="00B62A0D">
    <w:pPr>
      <w:widowControl w:val="0"/>
      <w:pBdr>
        <w:bottom w:val="single" w:sz="4" w:space="1" w:color="auto"/>
      </w:pBdr>
      <w:autoSpaceDE w:val="0"/>
      <w:autoSpaceDN w:val="0"/>
      <w:adjustRightInd w:val="0"/>
      <w:spacing w:after="0" w:line="276" w:lineRule="auto"/>
      <w:jc w:val="center"/>
      <w:rPr>
        <w:rFonts w:ascii="Verdana" w:eastAsia="Times New Roman" w:hAnsi="Verdana" w:cs="Timok"/>
        <w:spacing w:val="38"/>
        <w:sz w:val="24"/>
        <w:szCs w:val="24"/>
        <w:lang w:eastAsia="bg-BG"/>
      </w:rPr>
    </w:pPr>
    <w:r w:rsidRPr="00B62A0D">
      <w:rPr>
        <w:rFonts w:ascii="Verdana" w:eastAsia="Times New Roman" w:hAnsi="Verdana" w:cs="Platinum Bg"/>
        <w:spacing w:val="30"/>
        <w:sz w:val="24"/>
        <w:szCs w:val="24"/>
        <w:lang w:eastAsia="bg-BG"/>
      </w:rPr>
      <w:t>Заместник-министър на земеделието и храните</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14560"/>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A0D"/>
    <w:rsid w:val="001A1464"/>
    <w:rsid w:val="00503F86"/>
    <w:rsid w:val="006E23EB"/>
    <w:rsid w:val="008A300F"/>
    <w:rsid w:val="00995566"/>
    <w:rsid w:val="00B62A0D"/>
    <w:rsid w:val="00D20515"/>
    <w:rsid w:val="00E3564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C6070EF2-ADC0-4413-8E44-13C3DF25F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62A0D"/>
    <w:pPr>
      <w:tabs>
        <w:tab w:val="center" w:pos="4536"/>
        <w:tab w:val="right" w:pos="9072"/>
      </w:tabs>
      <w:spacing w:after="0" w:line="240" w:lineRule="auto"/>
    </w:pPr>
  </w:style>
  <w:style w:type="character" w:customStyle="1" w:styleId="a4">
    <w:name w:val="Долен колонтитул Знак"/>
    <w:basedOn w:val="a0"/>
    <w:link w:val="a3"/>
    <w:uiPriority w:val="99"/>
    <w:rsid w:val="00B62A0D"/>
  </w:style>
  <w:style w:type="paragraph" w:styleId="a5">
    <w:name w:val="header"/>
    <w:basedOn w:val="a"/>
    <w:link w:val="a6"/>
    <w:uiPriority w:val="99"/>
    <w:unhideWhenUsed/>
    <w:rsid w:val="00B62A0D"/>
    <w:pPr>
      <w:tabs>
        <w:tab w:val="center" w:pos="4536"/>
        <w:tab w:val="right" w:pos="9072"/>
      </w:tabs>
      <w:spacing w:after="0" w:line="240" w:lineRule="auto"/>
    </w:pPr>
  </w:style>
  <w:style w:type="character" w:customStyle="1" w:styleId="a6">
    <w:name w:val="Горен колонтитул Знак"/>
    <w:basedOn w:val="a0"/>
    <w:link w:val="a5"/>
    <w:uiPriority w:val="99"/>
    <w:rsid w:val="00B62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1989</Words>
  <Characters>11341</Characters>
  <Application>Microsoft Office Word</Application>
  <DocSecurity>4</DocSecurity>
  <Lines>94</Lines>
  <Paragraphs>26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Росица Ташева-Пенева</dc:creator>
  <cp:keywords/>
  <dc:description/>
  <cp:lastModifiedBy>Росица Ташева-Пенева</cp:lastModifiedBy>
  <cp:revision>2</cp:revision>
  <dcterms:created xsi:type="dcterms:W3CDTF">2026-09-24T11:06:00Z</dcterms:created>
  <dcterms:modified xsi:type="dcterms:W3CDTF">2026-09-24T11:06:00Z</dcterms:modified>
</cp:coreProperties>
</file>