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827" w:rsidRPr="00042077" w:rsidRDefault="00240827" w:rsidP="001F31C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</w:rPr>
      </w:pPr>
    </w:p>
    <w:p w:rsidR="001F31CD" w:rsidRPr="00042077" w:rsidRDefault="001F31CD" w:rsidP="001F31C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4207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СПРАВКА </w:t>
      </w:r>
    </w:p>
    <w:p w:rsidR="00A62643" w:rsidRPr="00042077" w:rsidRDefault="001F31CD" w:rsidP="00860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2077">
        <w:rPr>
          <w:rFonts w:ascii="Times New Roman" w:eastAsia="Times New Roman" w:hAnsi="Times New Roman" w:cs="Times New Roman"/>
          <w:sz w:val="28"/>
          <w:szCs w:val="28"/>
        </w:rPr>
        <w:t>за отразяване на становищата, получени след обществено обсъждане на</w:t>
      </w:r>
    </w:p>
    <w:p w:rsidR="00E825C1" w:rsidRPr="00042077" w:rsidRDefault="001F31CD" w:rsidP="00E825C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2077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 w:rsidR="002D2DCE" w:rsidRPr="0004207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r w:rsidR="00460A55" w:rsidRPr="00042077">
        <w:rPr>
          <w:rFonts w:ascii="Times New Roman" w:eastAsia="Calibri" w:hAnsi="Times New Roman" w:cs="Times New Roman"/>
          <w:sz w:val="28"/>
          <w:szCs w:val="28"/>
        </w:rPr>
        <w:t xml:space="preserve">наредба за </w:t>
      </w:r>
      <w:r w:rsidR="00E825C1" w:rsidRPr="00042077">
        <w:rPr>
          <w:rFonts w:ascii="Times New Roman" w:eastAsia="Calibri" w:hAnsi="Times New Roman" w:cs="Times New Roman"/>
          <w:sz w:val="28"/>
          <w:szCs w:val="28"/>
        </w:rPr>
        <w:t>изменение на Наредба № 13 от 7 ноември 2019 г.</w:t>
      </w:r>
    </w:p>
    <w:p w:rsidR="008F2831" w:rsidRPr="00042077" w:rsidRDefault="00E825C1" w:rsidP="00E825C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2077">
        <w:rPr>
          <w:rFonts w:ascii="Times New Roman" w:eastAsia="Calibri" w:hAnsi="Times New Roman" w:cs="Times New Roman"/>
          <w:sz w:val="28"/>
          <w:szCs w:val="28"/>
        </w:rPr>
        <w:t>за приемане фармако-терапевтично ръководство по нефрология и диализа</w:t>
      </w:r>
    </w:p>
    <w:p w:rsidR="00240827" w:rsidRPr="00042077" w:rsidRDefault="00240827" w:rsidP="009647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40827" w:rsidRPr="00042077" w:rsidRDefault="00240827" w:rsidP="009647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40827" w:rsidRPr="00042077" w:rsidRDefault="00240827" w:rsidP="0096475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57653E" w:rsidRPr="00042077" w:rsidRDefault="0057653E" w:rsidP="0086001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TableGrid"/>
        <w:tblW w:w="14992" w:type="dxa"/>
        <w:tblLayout w:type="fixed"/>
        <w:tblLook w:val="04A0" w:firstRow="1" w:lastRow="0" w:firstColumn="1" w:lastColumn="0" w:noHBand="0" w:noVBand="1"/>
      </w:tblPr>
      <w:tblGrid>
        <w:gridCol w:w="2802"/>
        <w:gridCol w:w="7087"/>
        <w:gridCol w:w="1985"/>
        <w:gridCol w:w="3118"/>
      </w:tblGrid>
      <w:tr w:rsidR="0086001A" w:rsidRPr="00042077" w:rsidTr="00DF1715">
        <w:trPr>
          <w:trHeight w:val="673"/>
        </w:trPr>
        <w:tc>
          <w:tcPr>
            <w:tcW w:w="2802" w:type="dxa"/>
          </w:tcPr>
          <w:p w:rsidR="0086001A" w:rsidRPr="00042077" w:rsidRDefault="00925EB7" w:rsidP="00A62643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042077">
              <w:rPr>
                <w:rFonts w:ascii="Times New Roman" w:eastAsia="Times New Roman" w:hAnsi="Times New Roman" w:cs="Times New Roman"/>
                <w:b/>
              </w:rPr>
              <w:t>Участник в общественото обсъждане</w:t>
            </w:r>
          </w:p>
          <w:p w:rsidR="0086001A" w:rsidRPr="00042077" w:rsidRDefault="0086001A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7" w:type="dxa"/>
          </w:tcPr>
          <w:p w:rsidR="00A62643" w:rsidRPr="00042077" w:rsidRDefault="00A62643" w:rsidP="00A62643">
            <w:pPr>
              <w:keepNext/>
              <w:autoSpaceDE w:val="0"/>
              <w:autoSpaceDN w:val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  <w:p w:rsidR="0086001A" w:rsidRPr="00042077" w:rsidRDefault="00925EB7" w:rsidP="00A62643">
            <w:pPr>
              <w:keepNext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  <w:b/>
              </w:rPr>
              <w:t>Предложение/Мнение</w:t>
            </w:r>
          </w:p>
        </w:tc>
        <w:tc>
          <w:tcPr>
            <w:tcW w:w="1985" w:type="dxa"/>
          </w:tcPr>
          <w:p w:rsidR="00A62643" w:rsidRPr="00042077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42077">
              <w:rPr>
                <w:rFonts w:ascii="Times New Roman" w:eastAsia="Times New Roman" w:hAnsi="Times New Roman" w:cs="Times New Roman"/>
                <w:b/>
              </w:rPr>
              <w:t>Приема/</w:t>
            </w:r>
          </w:p>
          <w:p w:rsidR="0086001A" w:rsidRPr="00042077" w:rsidRDefault="00A62643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42077">
              <w:rPr>
                <w:rFonts w:ascii="Times New Roman" w:eastAsia="Times New Roman" w:hAnsi="Times New Roman" w:cs="Times New Roman"/>
                <w:b/>
              </w:rPr>
              <w:t>не приема</w:t>
            </w:r>
          </w:p>
          <w:p w:rsidR="0086001A" w:rsidRPr="00042077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42077">
              <w:rPr>
                <w:rFonts w:ascii="Times New Roman" w:eastAsia="Times New Roman" w:hAnsi="Times New Roman" w:cs="Times New Roman"/>
                <w:b/>
              </w:rPr>
              <w:t>предложението</w:t>
            </w:r>
          </w:p>
          <w:p w:rsidR="0086001A" w:rsidRPr="00042077" w:rsidRDefault="0086001A" w:rsidP="00190A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</w:tcPr>
          <w:p w:rsidR="00A62643" w:rsidRPr="00042077" w:rsidRDefault="00A62643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6001A" w:rsidRPr="00042077" w:rsidRDefault="0086001A" w:rsidP="00A626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</w:rPr>
              <w:t>Мотиви</w:t>
            </w:r>
          </w:p>
        </w:tc>
      </w:tr>
      <w:tr w:rsidR="00486969" w:rsidRPr="00042077" w:rsidTr="00415A97">
        <w:trPr>
          <w:trHeight w:val="985"/>
        </w:trPr>
        <w:tc>
          <w:tcPr>
            <w:tcW w:w="2802" w:type="dxa"/>
          </w:tcPr>
          <w:p w:rsidR="00E825C1" w:rsidRPr="00042077" w:rsidRDefault="00E825C1" w:rsidP="00E825C1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7653E" w:rsidRPr="00042077" w:rsidRDefault="00E825C1" w:rsidP="00E825C1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</w:rPr>
              <w:t xml:space="preserve"> Байер България ЕООД</w:t>
            </w:r>
          </w:p>
        </w:tc>
        <w:tc>
          <w:tcPr>
            <w:tcW w:w="7087" w:type="dxa"/>
          </w:tcPr>
          <w:p w:rsidR="004A24ED" w:rsidRPr="00042077" w:rsidRDefault="00964755" w:rsidP="0012466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 xml:space="preserve">Предложения </w:t>
            </w:r>
            <w:r w:rsidR="00AE3DB4" w:rsidRPr="00042077">
              <w:rPr>
                <w:rFonts w:ascii="Times New Roman" w:hAnsi="Times New Roman" w:cs="Times New Roman"/>
                <w:b/>
                <w:bCs/>
              </w:rPr>
              <w:t>за изменения</w:t>
            </w:r>
            <w:r w:rsidRPr="00042077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E825C1" w:rsidRPr="00042077" w:rsidRDefault="00E825C1" w:rsidP="009C57E3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</w:rPr>
            </w:pPr>
            <w:r w:rsidRPr="00042077">
              <w:rPr>
                <w:rFonts w:ascii="Times New Roman" w:hAnsi="Times New Roman" w:cs="Times New Roman"/>
                <w:bCs/>
                <w:i/>
                <w:iCs/>
              </w:rPr>
              <w:t xml:space="preserve">В раздел VI, „Лечение на хроничното бъбречно заболяване“ </w:t>
            </w:r>
            <w:r w:rsidRPr="00042077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  <w:bCs/>
                <w:i/>
                <w:iCs/>
              </w:rPr>
              <w:t xml:space="preserve">след думите: „На нов ред се добавя нова точка“, </w:t>
            </w:r>
            <w:r w:rsidRPr="00042077">
              <w:rPr>
                <w:rFonts w:ascii="Times New Roman" w:hAnsi="Times New Roman" w:cs="Times New Roman"/>
                <w:bCs/>
              </w:rPr>
              <w:t xml:space="preserve">текстът (целият последен абзац на стр. 2), който е предложен да се заличи и на негово място да се впише: </w:t>
            </w:r>
          </w:p>
          <w:p w:rsidR="00E825C1" w:rsidRPr="00042077" w:rsidRDefault="00E825C1" w:rsidP="00E825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„Finerenone е нов нестероиден високо-селективен антагонист на минералкортикоидния рецептор (MR). Свързването му с MR води до блокиране набирането на транскрипционни коактиватори, включващи се в експресията на провъзпалителни и профиброзни медиатори. Finerenone е показан за лечение на ХБЗ (с албуминурия), свързано със ЗДТ2 при възрастни пациенти, при които той демонстрира сигнификантно намаление на риска от прогресия на ХБЗ и сърдечно-съдови събития. Докладваните ползи са на фона на максимално поносима доза блокери на RAAS. Подходящите пациенти са тези с албуминурия (≥30 mg/g [≥3 mg/mmol]) и eGFR ≥25 до 90ml/min/1.73 m2. Международните препоръки ADA 2023, KDIGO</w:t>
            </w:r>
            <w:r w:rsidRPr="0004207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042077">
              <w:rPr>
                <w:rFonts w:ascii="Times New Roman" w:hAnsi="Times New Roman" w:cs="Times New Roman"/>
                <w:b/>
                <w:bCs/>
              </w:rPr>
              <w:t xml:space="preserve">2024 и ESC 2023 препоръчват Finerenone наред със SGLT2-инхибиторите, като подходящо лечение на пациентите със ЗДТ2 за </w:t>
            </w:r>
            <w:r w:rsidRPr="0004207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намаляне на риска от прогресия на ХБЗ и риска от сърдечно-съдови събития. </w:t>
            </w:r>
          </w:p>
          <w:p w:rsidR="002E7BD5" w:rsidRPr="00042077" w:rsidRDefault="00E825C1" w:rsidP="00E825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Изписване по код N18.8 – при пациенти със ЗДТ2 с албуминурия (≥30 mg/g [≥3 mg/mmol]), eGFR ≥25 до над 90ml/min/1.73 m2 и серумен калий ≤ 4,8mmol/l.“</w:t>
            </w:r>
          </w:p>
          <w:p w:rsidR="00060EDC" w:rsidRPr="00042077" w:rsidRDefault="00E825C1" w:rsidP="0012466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42077">
              <w:rPr>
                <w:rFonts w:ascii="Times New Roman" w:hAnsi="Times New Roman" w:cs="Times New Roman"/>
                <w:bCs/>
              </w:rPr>
              <w:t>Предложението ни е мотивирано от кратката характеристика на лекарствения продукт Kerendia и международните препоръки за лечение на хроничното бъбречно заболяване.</w:t>
            </w:r>
          </w:p>
        </w:tc>
        <w:tc>
          <w:tcPr>
            <w:tcW w:w="1985" w:type="dxa"/>
          </w:tcPr>
          <w:p w:rsidR="000C07CA" w:rsidRPr="00042077" w:rsidRDefault="000C07CA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15A97" w:rsidRPr="00042077" w:rsidRDefault="00415A97" w:rsidP="00CB4A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15A97" w:rsidRPr="00042077" w:rsidRDefault="005B7ABA" w:rsidP="00CB4A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Приема</w:t>
            </w:r>
          </w:p>
          <w:p w:rsidR="00415A97" w:rsidRPr="00042077" w:rsidRDefault="00415A97" w:rsidP="00CB4A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15A97" w:rsidRPr="00042077" w:rsidRDefault="00415A97" w:rsidP="00CB4A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15A97" w:rsidRPr="00042077" w:rsidRDefault="00415A97" w:rsidP="00CB4A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15A97" w:rsidRPr="00042077" w:rsidRDefault="00415A97" w:rsidP="00CB4A7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575941" w:rsidRPr="00042077" w:rsidRDefault="00575941" w:rsidP="002D2DC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F1163" w:rsidRPr="00042077" w:rsidTr="00415A97">
        <w:trPr>
          <w:trHeight w:val="985"/>
        </w:trPr>
        <w:tc>
          <w:tcPr>
            <w:tcW w:w="2802" w:type="dxa"/>
          </w:tcPr>
          <w:p w:rsidR="00DF1163" w:rsidRPr="00042077" w:rsidRDefault="00263795" w:rsidP="00BF1DA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  <w:b/>
              </w:rPr>
              <w:t>Pfizer Europe MA EEIG</w:t>
            </w:r>
          </w:p>
        </w:tc>
        <w:tc>
          <w:tcPr>
            <w:tcW w:w="7087" w:type="dxa"/>
          </w:tcPr>
          <w:p w:rsidR="00AE3DB4" w:rsidRPr="00042077" w:rsidRDefault="00DF1163" w:rsidP="00DF25F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042077">
              <w:rPr>
                <w:rFonts w:ascii="Times New Roman" w:hAnsi="Times New Roman" w:cs="Times New Roman"/>
                <w:b/>
              </w:rPr>
              <w:t>Предложения за допълнения</w:t>
            </w:r>
            <w:r w:rsidR="00AE3DB4" w:rsidRPr="00042077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="00F47F4B" w:rsidRPr="0004207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В Раздел I. </w:t>
            </w:r>
            <w:r w:rsidRPr="00042077">
              <w:rPr>
                <w:rFonts w:ascii="Times New Roman" w:hAnsi="Times New Roman" w:cs="Times New Roman"/>
                <w:b/>
              </w:rPr>
              <w:t>Остър и хроничен пиелонефрит, обструктивна и рефлуксна нефропатия,</w:t>
            </w:r>
            <w:r w:rsidRPr="0004207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  <w:b/>
              </w:rPr>
              <w:t>цистит, уретрит, перитонит при лечение с перитонеална диализа,</w:t>
            </w:r>
            <w:r w:rsidRPr="0004207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  <w:b/>
              </w:rPr>
              <w:t>подраздел 1 Антибактериално лечение</w:t>
            </w:r>
            <w:r w:rsidRPr="00042077">
              <w:rPr>
                <w:rFonts w:ascii="Times New Roman" w:hAnsi="Times New Roman" w:cs="Times New Roman"/>
              </w:rPr>
              <w:t>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1. в таблицата </w:t>
            </w:r>
            <w:r w:rsidRPr="00042077">
              <w:rPr>
                <w:rFonts w:ascii="Times New Roman" w:hAnsi="Times New Roman" w:cs="Times New Roman"/>
                <w:b/>
              </w:rPr>
              <w:t>При уроинфекция с Грам отрицателна флора</w:t>
            </w:r>
            <w:r w:rsidRPr="00042077">
              <w:rPr>
                <w:rFonts w:ascii="Times New Roman" w:hAnsi="Times New Roman" w:cs="Times New Roman"/>
              </w:rPr>
              <w:t>,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в секцията Цефалоспорини -III и IV та генерация: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• подсекция Перорални, предлагаме да се добави ampicillin/sulbactam.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• подсекция Инжекционни, предлагаме да се добавят ceftazidime/avibactam и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ampicillin/sulbactam.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2. в таблицата </w:t>
            </w:r>
            <w:r w:rsidRPr="00042077">
              <w:rPr>
                <w:rFonts w:ascii="Times New Roman" w:hAnsi="Times New Roman" w:cs="Times New Roman"/>
                <w:b/>
              </w:rPr>
              <w:t>При уроинфекция с Грам положителна флора</w:t>
            </w:r>
            <w:r w:rsidRPr="00042077">
              <w:rPr>
                <w:rFonts w:ascii="Times New Roman" w:hAnsi="Times New Roman" w:cs="Times New Roman"/>
              </w:rPr>
              <w:t>,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в секцията Цефалоспорини -III и IV та генерация: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• подсекция Перорални, предлагаме да се добави ampicillin/sulbactam.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• подсекция Инжекционни, предлагаме да се добави ampicillin/sulbactam.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3. в подсекцията </w:t>
            </w:r>
            <w:r w:rsidRPr="00042077">
              <w:rPr>
                <w:rFonts w:ascii="Times New Roman" w:hAnsi="Times New Roman" w:cs="Times New Roman"/>
                <w:b/>
              </w:rPr>
              <w:t>При уроинфекция с Pseudomonas</w:t>
            </w:r>
            <w:r w:rsidRPr="00042077">
              <w:rPr>
                <w:rFonts w:ascii="Times New Roman" w:hAnsi="Times New Roman" w:cs="Times New Roman"/>
              </w:rPr>
              <w:t>: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предлагаме да се добави ceftazidime/avibactam и следния пояснителен текст: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1170">
              <w:rPr>
                <w:rFonts w:ascii="Times New Roman" w:hAnsi="Times New Roman" w:cs="Times New Roman"/>
              </w:rPr>
              <w:t>Ceftazidime/avibactam е показан при възрастни и педиатрични пациенти на възраст 3 месеца</w:t>
            </w:r>
            <w:r w:rsidR="002B062D" w:rsidRPr="00401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1170">
              <w:rPr>
                <w:rFonts w:ascii="Times New Roman" w:hAnsi="Times New Roman" w:cs="Times New Roman"/>
              </w:rPr>
              <w:t>и повече за лечението на усложнена инфекция на пикочните пътища (уИПП), включително</w:t>
            </w:r>
            <w:r w:rsidRPr="00401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1170">
              <w:rPr>
                <w:rFonts w:ascii="Times New Roman" w:hAnsi="Times New Roman" w:cs="Times New Roman"/>
              </w:rPr>
              <w:t>пиелонефрит; лечение на възрастни пациенти с бактериемия, която се е появила или се</w:t>
            </w:r>
            <w:r w:rsidRPr="00401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1170">
              <w:rPr>
                <w:rFonts w:ascii="Times New Roman" w:hAnsi="Times New Roman" w:cs="Times New Roman"/>
              </w:rPr>
              <w:t xml:space="preserve">подозира, </w:t>
            </w:r>
            <w:r w:rsidRPr="00401170">
              <w:rPr>
                <w:rFonts w:ascii="Times New Roman" w:hAnsi="Times New Roman" w:cs="Times New Roman"/>
              </w:rPr>
              <w:lastRenderedPageBreak/>
              <w:t>че се е появила, във връзка с усложнена инфекция на пикочните пътища,</w:t>
            </w:r>
            <w:r w:rsidRPr="00401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1170">
              <w:rPr>
                <w:rFonts w:ascii="Times New Roman" w:hAnsi="Times New Roman" w:cs="Times New Roman"/>
              </w:rPr>
              <w:t>включително пиелонефрит, както и за лечение на инфекции, дължащи се на аеробни Грам-отрицателни микроорганизми при възрастни и педиатрични пациенти на възраст 3 месеца и</w:t>
            </w:r>
            <w:r w:rsidRPr="004011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1170">
              <w:rPr>
                <w:rFonts w:ascii="Times New Roman" w:hAnsi="Times New Roman" w:cs="Times New Roman"/>
              </w:rPr>
              <w:t>повече с ограничени възможности за лечение.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Основания: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b/>
              </w:rPr>
              <w:t>ceftazidime/avibactam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Предложените допълнения касаят антибиотична комбинация, разработена специално за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лечение на инфекции, причинени от резистентни Грам-отрицателни микроорганизми: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(Escherichia coli, Klebsiella pneumoniae, Proteus mirabilis, Enterobacter cloacae, Pseudomonas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aeruginosa). Одобрените индикации включват широк спектър усложнени инфекции на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пикочните пътища при пациенти на възраст три месеца и повече. Ceftazidime/avibactam се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препоръчва от водещите ръководства за лечение на усложнени инфекции, причинени от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резистентна Грам (-) флора. Медикаментът е наличен в България и е включен в ПЛС,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приложение 2.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b/>
              </w:rPr>
              <w:t>ampicillin/sulbactam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Предложенoтo допълнениe касаe антибиотична комбинация с възможност за перорално,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интравенозно и интрамускулно приложение, с ефикасност срещу широк спектър Грам-положителни и Грам-отрицателни микроорганизми и благоприятен профил на безопасност.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Може да се прилага във всяка възраст, започвайки от новородени през първата седмица от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живота, включително недоносени. Ampicillin/sulbactam присъства в България над 20 години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и продължава да бъде широко прилаган при лечение на показаните инфекции и за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периоперативна профилактика, поради доказаната му ефективност и липсата на данни за</w:t>
            </w:r>
            <w:r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развитие на антимикробна резистентност.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lastRenderedPageBreak/>
              <w:t>Прилагам по-долу и списък на източниците, ползвани за направените предложения: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 Zavicefta, INN-ceftazidime/avibactam (europa.eu)</w:t>
            </w:r>
          </w:p>
          <w:p w:rsidR="0008138E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 2020-10-27-120906.pdf (bda.bg)</w:t>
            </w:r>
          </w:p>
          <w:p w:rsidR="008E0105" w:rsidRPr="00042077" w:rsidRDefault="0008138E" w:rsidP="000813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</w:rPr>
              <w:t> 2020-11-30-121206.pdf (bda.bg)</w:t>
            </w:r>
          </w:p>
        </w:tc>
        <w:tc>
          <w:tcPr>
            <w:tcW w:w="1985" w:type="dxa"/>
          </w:tcPr>
          <w:p w:rsidR="005B7ABA" w:rsidRPr="00042077" w:rsidRDefault="005B7ABA" w:rsidP="005B7AB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Приема</w:t>
            </w:r>
          </w:p>
          <w:p w:rsidR="00DF1163" w:rsidRDefault="00DF1163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401170" w:rsidRPr="00401170" w:rsidRDefault="00401170" w:rsidP="00DF25F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Приема да се добави „</w:t>
            </w:r>
            <w:r w:rsidRPr="00042077">
              <w:rPr>
                <w:rFonts w:ascii="Times New Roman" w:hAnsi="Times New Roman" w:cs="Times New Roman"/>
              </w:rPr>
              <w:t>ceftazidime/avibactam</w:t>
            </w:r>
            <w:r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3118" w:type="dxa"/>
          </w:tcPr>
          <w:p w:rsidR="00DF1163" w:rsidRDefault="00DF1163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40117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приема да се добави пояснителния текст, тъй като показанията са част от КХП на ЛП, следователно не следва да присъства във ФТР.</w:t>
            </w: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  <w:p w:rsidR="00401170" w:rsidRPr="00042077" w:rsidRDefault="00401170" w:rsidP="002D2DC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02520" w:rsidRPr="00042077" w:rsidTr="00E21B91">
        <w:trPr>
          <w:trHeight w:val="985"/>
        </w:trPr>
        <w:tc>
          <w:tcPr>
            <w:tcW w:w="2802" w:type="dxa"/>
          </w:tcPr>
          <w:p w:rsidR="00B02520" w:rsidRPr="00042077" w:rsidRDefault="00B02520" w:rsidP="00E21B91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  <w:b/>
              </w:rPr>
              <w:lastRenderedPageBreak/>
              <w:t>Стада България ЕООД</w:t>
            </w:r>
          </w:p>
        </w:tc>
        <w:tc>
          <w:tcPr>
            <w:tcW w:w="7087" w:type="dxa"/>
          </w:tcPr>
          <w:p w:rsidR="00B02520" w:rsidRPr="00042077" w:rsidRDefault="00B02520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042077">
              <w:rPr>
                <w:rFonts w:ascii="Times New Roman" w:hAnsi="Times New Roman" w:cs="Times New Roman"/>
                <w:b/>
              </w:rPr>
              <w:t xml:space="preserve">Предложения за </w:t>
            </w:r>
            <w:r w:rsidR="00552233" w:rsidRPr="00042077">
              <w:rPr>
                <w:rFonts w:ascii="Times New Roman" w:hAnsi="Times New Roman" w:cs="Times New Roman"/>
                <w:b/>
              </w:rPr>
              <w:t>промени</w:t>
            </w:r>
            <w:r w:rsidRPr="00042077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04207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В раздел II „Лечение на хистологично доказани гломерулонефрити“ предлагаме да бъде обособена нова отделна точка: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Точка (</w:t>
            </w:r>
            <w:r w:rsidRPr="000420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нова</w:t>
            </w:r>
            <w:r w:rsidRPr="000420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).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Съвременна таргетна терапия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„Kinpeygo (TRF-budesonide - с прицелно изменено освобождаване) е показан за лечение на първична имуноглобулин A (IgA) нефропатия  при възрастни, изложени на риск от бърза прогресия на заболяването, със съотношение протеин/креатинин в урината (UPCR) ≥1,5 g/g. Kinpeygo (TRF-budesonide) е иновативна здравна технология специално разработен за пациенти с IgAN, насочен към основната патофизиология на заболяването със статут на лекарство сирак. Kinpeygo потиска В-клетките на лигавицата, които се намират в Пайеровите плаки в илеума и инхибира тяхната пролиферация и диференциация до плазмени клетки, които произвеждат мукозни антитела IgA1 с дефицит на галактоза (Gd-IgA1). Поради това се очаква да потисне образуването на антитела, насочени към Gd-IgA1 и образуването на имунни комплекси в системната циркулация и по този начин да се предотвратят последващите ефекти на отлагане на имунни комплекси, съдържащи Gd-IgA1в гломерулния мезангиум, които са причина за развитие на гломерулонефрит и загуба на бъбречна функция. На този етап Kinpeygo (TRF-budesonide) е единственото одобрено от ЕМА лечение за пациенти с първична IgAN, което показва полза за забавяне на прогресията, увеличава вероятността пациентите с първична IgAN да избегнат или отложат  необходимостта 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от диализа (за болните с понижение на протеинурията с 48%, това отлагане да е с поне 8 години) или бъбречна трансплантация (EMA, 2022; NICE UK, 2023, Barratt, 2023; Lafayette, 2023; Mercer, 2023).”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>Обосновка на направеното предложение: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IgA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нефропатията (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IgAN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) с ORPHA код: 34145 е рядко, хронично прогресиращо имуно-медиирано бъбречно заболяване и представлява основна причина за бъбречна недостатъчност и намалена преживяемост в световен мащаб (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Glassock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et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al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2019;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Jarrick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et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al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2019).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Kinpeygo (TRF-budesonide) е иновативна здравна технология специално разработен за пациенти с IgAN, насочен към основната патофизиология на заболяването със </w:t>
            </w:r>
            <w:r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>статут на лекарство сирак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, определен на 18.11.2016 г. по директива EU/3/21/2397 при следната индикация: Лечение на първична IgA нефропатия (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EMA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. EU/3/16/1778: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COMP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, 2016), a на 20.05.2022 г., въз основа на Член 3, параграф 1, буква б) от Регламент (ЕС) № 141/2000, СОМР, потвърждава статута на лекарство сирак за Kinpeygo.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>ЕМА оценява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, че балансът полза-риск на Kinpeygo за лечението на първична IgA нефропатия при възрастни с риск от бърза прогресия на заболяването, при които съотношението протеин/креатинин в урината е ≥1,5 g/g е благоприятен и приема, че </w:t>
            </w:r>
            <w:r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>Kinpeygo предоставя клинично значима полза в лечението на IgAN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, във връзка със значителната непосрещната медицинска нужда при посочената индикация.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>Клиничните експерти в NICE, UK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препоръчват употребата на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Kinpeygo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(TRF-budesonide) за болни с първична IgAN с риск от бърза прогресия на заболяването и протеинурия със съотношение UPCR ≥1.5 g/g, в допълнение към стандартни грижи. Комитетът взема решение за тази положителна препоръка въз основа на данните от клинични проучвания, 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 xml:space="preserve">които доказват, че </w:t>
            </w:r>
            <w:r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будезонид с целенасочено освобождаване плюс стандартни грижи е по-ефективен и икономически оправдан (по-евтин), 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отколкото само стандартните грижи. Това е и първото одобрено от ЕМА и от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MHRA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(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Medicines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and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Healthcare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products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Regulatory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Agency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of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the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United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Kingdom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) лечение за това конкретно рядко заболяване, като увеличава вероятността пациентите с първична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IgAN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да избегнат или отложат необходимостта от диализа или бъбречна трансплантация (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NICE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lang w:val="en-US" w:eastAsia="bg-BG"/>
              </w:rPr>
              <w:t>appraisal</w:t>
            </w: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, 2023).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Очаква се в резултат на лечението с Kinpeygo (TRF-budesonide) да се отложи нуждата от хемодиализа, като за болните с понижение на протеинурията с 48%, това отлагане да е с поне 8 години (Barratt, 2023; Lafayette, 2023; Mercer, 2023).</w:t>
            </w:r>
          </w:p>
          <w:p w:rsidR="00552233" w:rsidRPr="00042077" w:rsidRDefault="00552233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552233" w:rsidRPr="00042077" w:rsidRDefault="000A7EFC" w:rsidP="002D41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 xml:space="preserve">           </w:t>
            </w:r>
            <w:r w:rsidR="00552233" w:rsidRPr="00042077">
              <w:rPr>
                <w:rFonts w:ascii="Times New Roman" w:eastAsia="Times New Roman" w:hAnsi="Times New Roman" w:cs="Times New Roman"/>
                <w:b/>
                <w:lang w:eastAsia="bg-BG"/>
              </w:rPr>
              <w:t>С входящ номер 111-</w:t>
            </w:r>
            <w:r w:rsidR="00552233" w:rsidRPr="00042077">
              <w:rPr>
                <w:rFonts w:ascii="Times New Roman" w:eastAsia="Times New Roman" w:hAnsi="Times New Roman" w:cs="Times New Roman"/>
                <w:b/>
              </w:rPr>
              <w:t>1722/26.02.2024 година е подадено заявление за включване на лекарствен продукт в Позитивния лекарствен списък, включително образуване на цена (процедура за включване – процедура ОЗТ) за лекарствения продукт Kinpeygo 4 mg modified release hard capsules х 120. В момента е в процес на разглеждане и оценка.</w:t>
            </w:r>
          </w:p>
          <w:p w:rsidR="00B02520" w:rsidRPr="00042077" w:rsidRDefault="00552233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eastAsia="Times New Roman" w:hAnsi="Times New Roman" w:cs="Times New Roman"/>
                <w:lang w:eastAsia="bg-BG"/>
              </w:rPr>
              <w:t>Като единственото лечение за болните с IgAN, които са с риск от прогресия към терминална бъбречна недостатъчност, Kinpeygo (TRF-budesonide) има потенциала да промени терапевтичните практики за това рядко, живото-застрашаващо състояние с хроничен инвалидизиращ характер водещо до нарушено качество на живот и намалена преживяемост.</w:t>
            </w:r>
          </w:p>
        </w:tc>
        <w:tc>
          <w:tcPr>
            <w:tcW w:w="1985" w:type="dxa"/>
          </w:tcPr>
          <w:p w:rsidR="005B7ABA" w:rsidRPr="00042077" w:rsidRDefault="005B7ABA" w:rsidP="005B7AB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Приема</w:t>
            </w:r>
          </w:p>
          <w:p w:rsidR="00B02520" w:rsidRPr="00042077" w:rsidRDefault="00B02520" w:rsidP="00E21B9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B02520" w:rsidRPr="00042077" w:rsidRDefault="00B02520" w:rsidP="00E21B9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4B4F" w:rsidRPr="00042077" w:rsidTr="00E21B91">
        <w:trPr>
          <w:trHeight w:val="985"/>
        </w:trPr>
        <w:tc>
          <w:tcPr>
            <w:tcW w:w="2802" w:type="dxa"/>
          </w:tcPr>
          <w:p w:rsidR="001D4B4F" w:rsidRPr="00042077" w:rsidRDefault="00DB7BB2" w:rsidP="00E21B9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  <w:b/>
              </w:rPr>
              <w:lastRenderedPageBreak/>
              <w:t>АстраЗенека</w:t>
            </w:r>
          </w:p>
        </w:tc>
        <w:tc>
          <w:tcPr>
            <w:tcW w:w="7087" w:type="dxa"/>
          </w:tcPr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  <w:b/>
              </w:rPr>
              <w:t>Предложения:</w:t>
            </w:r>
          </w:p>
          <w:p w:rsidR="001D4B4F" w:rsidRPr="005B7ABA" w:rsidRDefault="001D4B4F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t xml:space="preserve">В Раздел III. Гломерулни  увреждания  при  болести, класифицирани другаде, т. 2. SGLT2-инхибитори да се добави следния </w:t>
            </w:r>
            <w:r w:rsidRPr="00042077">
              <w:rPr>
                <w:rFonts w:ascii="Times New Roman" w:hAnsi="Times New Roman" w:cs="Times New Roman"/>
              </w:rPr>
              <w:lastRenderedPageBreak/>
              <w:t>текст: 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>SGLT2 инхибитор (канаглифлозин, емпаглифлозин или дапаглифлозин) се препоръчва при пациенти със захарен диабет тип 2 и хронично бъбречно заболяване с eGFR ≥ 20 ml/min/1,73 m2 за намаляване на риска от сърдечносъдово заболяване и бъбречна недостатъчност.</w:t>
            </w:r>
            <w:r w:rsidRPr="005B7ABA">
              <w:rPr>
                <w:rFonts w:ascii="Times New Roman" w:hAnsi="Times New Roman" w:cs="Times New Roman"/>
              </w:rPr>
              <w:t>“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042077">
              <w:rPr>
                <w:rFonts w:ascii="Times New Roman" w:hAnsi="Times New Roman" w:cs="Times New Roman"/>
              </w:rPr>
              <w:t xml:space="preserve"> </w:t>
            </w:r>
            <w:r w:rsidRPr="00042077">
              <w:rPr>
                <w:rFonts w:ascii="Times New Roman" w:hAnsi="Times New Roman" w:cs="Times New Roman"/>
                <w:bCs/>
              </w:rPr>
              <w:t>Клас 1 А препоръка от 2023 ESC Guidelines for the management of cardiovascular disease in patients with diabetes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42077">
              <w:rPr>
                <w:rFonts w:ascii="Times New Roman" w:hAnsi="Times New Roman" w:cs="Times New Roman"/>
                <w:bCs/>
              </w:rPr>
              <w:t>Източник: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42077">
              <w:rPr>
                <w:rFonts w:ascii="Times New Roman" w:hAnsi="Times New Roman" w:cs="Times New Roman"/>
                <w:bCs/>
              </w:rPr>
              <w:t xml:space="preserve">2023 ESC Guidelines for the management of cardiovascular disease in patients with diabetes, European Heart Journal (2023) 44, 4043–4140 </w:t>
            </w:r>
          </w:p>
          <w:p w:rsidR="001D4B4F" w:rsidRPr="00042077" w:rsidRDefault="00294B9B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8" w:history="1">
              <w:r w:rsidR="00DB7BB2" w:rsidRPr="00042077">
                <w:rPr>
                  <w:rStyle w:val="Hyperlink"/>
                  <w:rFonts w:ascii="Times New Roman" w:hAnsi="Times New Roman" w:cs="Times New Roman"/>
                  <w:bCs/>
                  <w:color w:val="auto"/>
                </w:rPr>
                <w:t>https://doi.org/10.1093/eurheartj/ehad192</w:t>
              </w:r>
            </w:hyperlink>
            <w:r w:rsidR="001D4B4F" w:rsidRPr="0004207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B7BB2" w:rsidRPr="00042077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</w:p>
          <w:p w:rsidR="001D4B4F" w:rsidRPr="00042077" w:rsidRDefault="001D4B4F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Cs/>
              </w:rPr>
              <w:t>В раздел</w:t>
            </w:r>
            <w:r w:rsidRPr="000420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III. Гломерулни  увреждания  при  болести, класифицирани другаде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N08.3* Гломерулни увреждания при захарен диабет (Е10—Е14)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Основната цел на лечението е забавяне на прогресията на бъбречните увреждания, чрез постигане на добър гликемичен контрол, лечение на интрагломерулната и системна хипертония, корегиране на дислипидемията, лечение на инфекциите, използване на антикоагулантна терапия, антифиброзна и прилагане на нискобелтъчна диета. Постигането на добър гликемичен контрол води до намаляване на ретинопатията в до 76% и на нефропатията в 54%.</w:t>
            </w:r>
          </w:p>
          <w:p w:rsidR="001D4B4F" w:rsidRPr="005B7ABA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t>След текста да се добави 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>Препоръчва се пациентите с диабет да бъдат рутинно изследвани за бъбречно заболяване чрез определяне на eGFR чрез CKD-EPI и UACR.“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lastRenderedPageBreak/>
              <w:t>Мотиви:</w:t>
            </w:r>
            <w:r w:rsidRPr="00042077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  <w:r w:rsidRPr="00042077">
              <w:rPr>
                <w:rFonts w:ascii="Times New Roman" w:hAnsi="Times New Roman" w:cs="Times New Roman"/>
                <w:bCs/>
              </w:rPr>
              <w:t>Клас 1 B препоръка</w:t>
            </w:r>
            <w:r w:rsidRPr="00042077">
              <w:rPr>
                <w:rFonts w:ascii="Times New Roman" w:hAnsi="Times New Roman" w:cs="Times New Roman"/>
              </w:rPr>
              <w:t xml:space="preserve"> от 2023 ESC Guidelines for the management of cardiovascular disease in patients with diabetes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2023 ESC Guidelines for the management of cardiovascular disease in patients with diabetes, European Heart Journal (2023) 44, 4043–4140 </w:t>
            </w:r>
          </w:p>
          <w:p w:rsidR="001D4B4F" w:rsidRPr="00042077" w:rsidRDefault="00294B9B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hyperlink r:id="rId9" w:history="1">
              <w:r w:rsidR="001D4B4F" w:rsidRPr="00042077">
                <w:rPr>
                  <w:rStyle w:val="Hyperlink"/>
                  <w:rFonts w:ascii="Times New Roman" w:hAnsi="Times New Roman" w:cs="Times New Roman"/>
                  <w:i/>
                  <w:iCs/>
                </w:rPr>
                <w:t>https://doi.org/10.1093/eurheartj/ehad192</w:t>
              </w:r>
            </w:hyperlink>
          </w:p>
          <w:p w:rsidR="00DB7BB2" w:rsidRPr="00042077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D4B4F" w:rsidRPr="00401170" w:rsidRDefault="001D4B4F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1170">
              <w:rPr>
                <w:rFonts w:ascii="Times New Roman" w:hAnsi="Times New Roman" w:cs="Times New Roman"/>
              </w:rPr>
              <w:t>В Раздел III. Гломерулни  увреждания  при  болести, класифицирани другаде, т. 2. SGLT2-инхибитори, да се добави текста: „</w:t>
            </w:r>
            <w:r w:rsidRPr="00401170">
              <w:rPr>
                <w:rFonts w:ascii="Times New Roman" w:hAnsi="Times New Roman" w:cs="Times New Roman"/>
                <w:b/>
                <w:bCs/>
              </w:rPr>
              <w:t>При пациенти със захарен диабет тип 2 и хронично бъбречно заболяване SGLT2 инхибиторите се препоръчват за намаляване на риска от хоспитализация за сърдечна недостатъчност или сърдечносъдова смърт.“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 xml:space="preserve">Мотиви: </w:t>
            </w:r>
            <w:r w:rsidRPr="00042077">
              <w:rPr>
                <w:rFonts w:ascii="Times New Roman" w:hAnsi="Times New Roman" w:cs="Times New Roman"/>
                <w:bCs/>
              </w:rPr>
              <w:t>Клас 1 А препоръка</w:t>
            </w:r>
            <w:r w:rsidRPr="00042077">
              <w:rPr>
                <w:rFonts w:ascii="Times New Roman" w:hAnsi="Times New Roman" w:cs="Times New Roman"/>
              </w:rPr>
              <w:t xml:space="preserve"> от 2023 Focused Update of the 2021 ESC Guidelines for the diagnosis and treatment  of acute and chronic heart failure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2023 Focused Update of the 2021 ESC Guidelines for the diagnosis and treatment  of acute and chronic heart failure, European Heart Journal (2023) 44, 3627–3639 </w:t>
            </w:r>
          </w:p>
          <w:p w:rsidR="001D4B4F" w:rsidRPr="00042077" w:rsidRDefault="00294B9B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hyperlink r:id="rId10" w:history="1">
              <w:r w:rsidR="001D4B4F" w:rsidRPr="00042077">
                <w:rPr>
                  <w:rStyle w:val="Hyperlink"/>
                  <w:rFonts w:ascii="Times New Roman" w:hAnsi="Times New Roman" w:cs="Times New Roman"/>
                  <w:i/>
                  <w:iCs/>
                </w:rPr>
                <w:t>https://doi.org/10.1093/eurheartj/ehad195</w:t>
              </w:r>
            </w:hyperlink>
          </w:p>
          <w:p w:rsidR="00DB7BB2" w:rsidRPr="00042077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D4B4F" w:rsidRPr="00042077" w:rsidRDefault="001D4B4F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В Раздел VI. Лечение на хроничното бъбречно заболяване, подраздел „Хронично бъбречно заболяване“, т. 1. Лечението е строго индивидуално и включва:</w:t>
            </w:r>
          </w:p>
          <w:p w:rsidR="001D4B4F" w:rsidRPr="005B7ABA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7ABA">
              <w:rPr>
                <w:rFonts w:ascii="Times New Roman" w:hAnsi="Times New Roman" w:cs="Times New Roman"/>
                <w:b/>
                <w:bCs/>
              </w:rPr>
              <w:t>Да се собави текста: „Препоръчва се лечение на пациентите с диабет тип 2, ХБЗ и eGFR ≥ 20 ml/min/1,73 m2 с SGLT2 инхибитор.“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Мотиви: </w:t>
            </w: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Препоръка 3.7.1 (1A)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D4B4F" w:rsidRPr="00042077" w:rsidRDefault="001D4B4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>doi: 10.1016/j.kint.2023.10.018</w:t>
            </w:r>
          </w:p>
          <w:p w:rsidR="00DB7BB2" w:rsidRPr="00042077" w:rsidRDefault="00DB7BB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406C2" w:rsidRPr="00042077" w:rsidRDefault="001406C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В Раздел VI. Лечение на хроничното бъбречно заболяване, подраздел „Хронично бъбречно заболяване“, т. 1. Лечението е строго индивидуално и включва:</w:t>
            </w:r>
          </w:p>
          <w:p w:rsidR="001D4B4F" w:rsidRPr="005B7ABA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t>Да се добави текста: 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>След започване на лечение с SGLT2 инхибитор е разумно да се продължи лечението с него, дори ако eGFR спадне под 20 ml/min/1,73 m2, освен ако лечението не се понася или не се започне бъбречно-заместителна терапия.“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042077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Практическа точка 3.7.1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>doi: 10.1016/j.kint.2023.10.018</w:t>
            </w:r>
          </w:p>
          <w:p w:rsidR="00271B2C" w:rsidRPr="00042077" w:rsidRDefault="00271B2C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406C2" w:rsidRPr="00042077" w:rsidRDefault="001406C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В Раздел VI. Лечение на хроничното бъбречно заболяване, подраздел „Хронично бъбречно заболяване“, т. 1. Лечението е строго индивидуално и включва:</w:t>
            </w:r>
          </w:p>
          <w:p w:rsidR="001406C2" w:rsidRPr="005B7ABA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t xml:space="preserve">Да се добави текста: </w:t>
            </w:r>
            <w:r w:rsidRPr="005B7ABA">
              <w:rPr>
                <w:rFonts w:ascii="Times New Roman" w:hAnsi="Times New Roman" w:cs="Times New Roman"/>
              </w:rPr>
              <w:t>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 xml:space="preserve">Препоръчва се лечение с SGLT2 инхибитор на възрастни с ХБЗ при следното: </w:t>
            </w:r>
          </w:p>
          <w:p w:rsidR="001406C2" w:rsidRPr="005B7ABA" w:rsidRDefault="001406C2" w:rsidP="002D41EF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7ABA">
              <w:rPr>
                <w:rFonts w:ascii="Times New Roman" w:hAnsi="Times New Roman" w:cs="Times New Roman"/>
                <w:b/>
                <w:bCs/>
              </w:rPr>
              <w:t>eGFR ≥20 ml/min/1,73 m2 с ACR в урината ≥200 mg/g (≥20 mg/mmol), или</w:t>
            </w:r>
          </w:p>
          <w:p w:rsidR="001406C2" w:rsidRPr="005B7ABA" w:rsidRDefault="001406C2" w:rsidP="002D41EF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7ABA">
              <w:rPr>
                <w:rFonts w:ascii="Times New Roman" w:hAnsi="Times New Roman" w:cs="Times New Roman"/>
                <w:b/>
                <w:bCs/>
              </w:rPr>
              <w:t>сърдечна недостатъчност, независимо от нивото на албуминурия.“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 xml:space="preserve">Мотиви: </w:t>
            </w: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Препоръка 3.7.2 (1A)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>doi: 10.1016/j.kint.2023.10.018</w:t>
            </w:r>
          </w:p>
          <w:p w:rsidR="001406C2" w:rsidRPr="00042077" w:rsidRDefault="00DB7BB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В </w:t>
            </w:r>
            <w:r w:rsidR="001406C2" w:rsidRPr="00042077">
              <w:rPr>
                <w:rFonts w:ascii="Times New Roman" w:hAnsi="Times New Roman" w:cs="Times New Roman"/>
              </w:rPr>
              <w:t>Раздел VI. Лечение на хроничното бъбречно заболяване, подраздел „Хронично бъбречно заболяване“, т. 1. Лечението е строго индивидуално и включва: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042077">
              <w:rPr>
                <w:rFonts w:ascii="Times New Roman" w:hAnsi="Times New Roman" w:cs="Times New Roman"/>
              </w:rPr>
              <w:t xml:space="preserve">Да се добави текста: </w:t>
            </w:r>
            <w:r w:rsidRPr="005B7ABA">
              <w:rPr>
                <w:rFonts w:ascii="Times New Roman" w:hAnsi="Times New Roman" w:cs="Times New Roman"/>
              </w:rPr>
              <w:t>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 xml:space="preserve">Започването или употребата на SGLT2 инхибитор не налага промяна на честотата на проследяване на ХБЗ </w:t>
            </w:r>
            <w:r w:rsidRPr="005B7ABA">
              <w:rPr>
                <w:rFonts w:ascii="Times New Roman" w:hAnsi="Times New Roman" w:cs="Times New Roman"/>
                <w:b/>
                <w:bCs/>
              </w:rPr>
              <w:lastRenderedPageBreak/>
              <w:t>и обратимото намаляване на eGFR при започване на лечението обикновено не е индикация за прекратяване на терапията.“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042077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Практическа точка 3.7.3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>doi: 10.1016/j.kint.2023.10.018</w:t>
            </w:r>
          </w:p>
          <w:p w:rsidR="002D41EF" w:rsidRPr="00042077" w:rsidRDefault="002D41EF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406C2" w:rsidRPr="00042077" w:rsidRDefault="001406C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В Раздел VI. Лечение на хроничното бъбречно заболяване, подраздел „Хронично бъбречно заболяване“, т. 1. Лечението е строго индивидуално и включва:</w:t>
            </w:r>
          </w:p>
          <w:p w:rsidR="001406C2" w:rsidRPr="005B7ABA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t xml:space="preserve">Да се добави текста: </w:t>
            </w:r>
            <w:r w:rsidRPr="005B7ABA">
              <w:rPr>
                <w:rFonts w:ascii="Times New Roman" w:hAnsi="Times New Roman" w:cs="Times New Roman"/>
              </w:rPr>
              <w:t>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>Предлага се лечение на възрастни с eGFR от 20 до 45 ml/min/1,73 m2 с ACR в урината &lt;200 mg/g (&lt;20 mg/mmol) със SGLT2 инхибитор.“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 xml:space="preserve">Мотиви: </w:t>
            </w: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Препоръка 3.7.3 (2B)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>doi: 10.1016/j.kint.2023.10.018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406C2" w:rsidRPr="00042077" w:rsidRDefault="001406C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В Раздел VI. Лечение на хроничното бъбречно заболяване, т. 5. Лечение на основните нарушения в алкално-киселинното и</w:t>
            </w:r>
            <w:r w:rsidR="00DB7BB2" w:rsidRPr="00042077">
              <w:rPr>
                <w:rFonts w:ascii="Times New Roman" w:hAnsi="Times New Roman" w:cs="Times New Roman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водно-електролитното равновесие, буква „Б“ Лечение на хиперкалиемията</w:t>
            </w:r>
          </w:p>
          <w:p w:rsidR="001406C2" w:rsidRPr="005B7ABA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t xml:space="preserve">Да се добави текста: </w:t>
            </w:r>
            <w:r w:rsidRPr="005B7ABA">
              <w:rPr>
                <w:rFonts w:ascii="Times New Roman" w:hAnsi="Times New Roman" w:cs="Times New Roman"/>
              </w:rPr>
              <w:t>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>Sodium circonium cyclosilicate (Натриево-циркониев циклосиликат) е показан за лечение на хиперкалиемия при възрастни пациенти. Sodium circonium cyclosilicate (Натриево-циркониев циклосиликат) е неабсорбиращ се, неполимерен неорганичен прах с еднородна микропореста структура, който захваща калия с предимство при обмен на водородни и натриеви катиони. In vitro, натриево-циркониев циклосиликат е високо селективен за калиевите йони, дори при наличие на други катиони като калций и магнезий. Натриево-циркониев циклосиликат захваща калия по продължението на целия стомашночревен тракт и намалява концентрацията на свободния калий в стомашно-чревния лумен, като по този начин понижава серумните нива на калий и повишава екскрецията на калий във фецеса, което води до отзвучаване на хиперкалиемията.“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042077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КХП Lokelma</w:t>
            </w:r>
            <w:r w:rsidRPr="00042077">
              <w:rPr>
                <w:rFonts w:ascii="Times New Roman" w:hAnsi="Times New Roman" w:cs="Times New Roman"/>
              </w:rPr>
              <w:t xml:space="preserve"> </w:t>
            </w:r>
          </w:p>
          <w:p w:rsidR="001406C2" w:rsidRPr="00042077" w:rsidRDefault="00294B9B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hyperlink r:id="rId11" w:history="1">
              <w:r w:rsidR="001406C2" w:rsidRPr="00042077">
                <w:rPr>
                  <w:rStyle w:val="Hyperlink"/>
                  <w:rFonts w:ascii="Times New Roman" w:hAnsi="Times New Roman" w:cs="Times New Roman"/>
                  <w:i/>
                  <w:iCs/>
                </w:rPr>
                <w:t>https://www.ema.europa.eu/bg/documents/product-information/lokelma-epar-product-information_bg.pdf</w:t>
              </w:r>
            </w:hyperlink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1406C2" w:rsidRPr="00042077" w:rsidRDefault="001406C2" w:rsidP="002D41E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В Раздел VI. Лечение на хроничното бъбречно заболяване, т. 5. Лечение на основните нарушения в алкално-киселинното и</w:t>
            </w:r>
            <w:r w:rsidR="00DB7BB2" w:rsidRPr="00042077">
              <w:rPr>
                <w:rFonts w:ascii="Times New Roman" w:hAnsi="Times New Roman" w:cs="Times New Roman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водно-електролитното равновесие, буква „Б“ Лечение на хиперкалиемията</w:t>
            </w:r>
          </w:p>
          <w:p w:rsidR="001406C2" w:rsidRPr="005B7ABA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2077">
              <w:rPr>
                <w:rFonts w:ascii="Times New Roman" w:hAnsi="Times New Roman" w:cs="Times New Roman"/>
              </w:rPr>
              <w:lastRenderedPageBreak/>
              <w:t>Да се добави текста: „</w:t>
            </w:r>
            <w:r w:rsidRPr="005B7ABA">
              <w:rPr>
                <w:rFonts w:ascii="Times New Roman" w:hAnsi="Times New Roman" w:cs="Times New Roman"/>
                <w:b/>
                <w:bCs/>
              </w:rPr>
              <w:t>Хиперкалиемията, свързана с употребата на RASi, често може да бъде овладяна чрез мерки за намаляване на нивата на серумния калий, вместо чрез намаляване на дозата или спиране на RASi.“</w:t>
            </w:r>
          </w:p>
          <w:p w:rsidR="00DB7BB2" w:rsidRPr="00042077" w:rsidRDefault="001406C2" w:rsidP="002D41E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  <w:bCs/>
              </w:rPr>
              <w:t>Мотиви:</w:t>
            </w:r>
            <w:r w:rsidRPr="00042077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  <w:r w:rsidR="00DB7BB2" w:rsidRPr="00042077">
              <w:rPr>
                <w:rFonts w:ascii="Times New Roman" w:hAnsi="Times New Roman" w:cs="Times New Roman"/>
              </w:rPr>
              <w:t xml:space="preserve">Актуализиране на текста на </w:t>
            </w:r>
            <w:r w:rsidR="00DB7BB2" w:rsidRPr="00042077">
              <w:rPr>
                <w:rFonts w:ascii="Times New Roman" w:hAnsi="Times New Roman" w:cs="Times New Roman"/>
                <w:i/>
                <w:iCs/>
              </w:rPr>
              <w:t>точка 5, буква „Б</w:t>
            </w:r>
            <w:r w:rsidR="00DB7BB2" w:rsidRPr="00042077">
              <w:rPr>
                <w:rFonts w:ascii="Times New Roman" w:hAnsi="Times New Roman" w:cs="Times New Roman"/>
              </w:rPr>
              <w:t>“ е свързано с лечение на хиперкалиемията на база на международните препоръки на KDIGO от 2024 година.</w:t>
            </w:r>
          </w:p>
          <w:p w:rsidR="00DB7BB2" w:rsidRPr="00042077" w:rsidRDefault="00DB7BB2" w:rsidP="002D41EF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Източник: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KDIGO 2024 Clinical Practice Guideline for the Evaluation and Management of Chronic Kidney Disease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Текстът е на база </w:t>
            </w:r>
            <w:r w:rsidRPr="00042077">
              <w:rPr>
                <w:rFonts w:ascii="Times New Roman" w:hAnsi="Times New Roman" w:cs="Times New Roman"/>
                <w:i/>
                <w:iCs/>
              </w:rPr>
              <w:t>Практическа точка 3.6.3</w:t>
            </w:r>
            <w:r w:rsidRPr="00042077">
              <w:rPr>
                <w:rFonts w:ascii="Times New Roman" w:hAnsi="Times New Roman" w:cs="Times New Roman"/>
              </w:rPr>
              <w:t>.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 xml:space="preserve">Kidney Disease: Improving Global Outcomes (KDIGO) CKD Work Group. KDIGO 2024 Clinical Practice Guideline for the Evaluation and Management of Chronic Kidney Disease. Kidney Int. 2024 Apr;105(4S):S117-S314. </w:t>
            </w: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1406C2" w:rsidRPr="00042077" w:rsidRDefault="001406C2" w:rsidP="002D41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i/>
                <w:iCs/>
              </w:rPr>
              <w:t>doi: 10.1016/j.kint.2023.10.018</w:t>
            </w:r>
          </w:p>
        </w:tc>
        <w:tc>
          <w:tcPr>
            <w:tcW w:w="1985" w:type="dxa"/>
          </w:tcPr>
          <w:p w:rsidR="005B7ABA" w:rsidRPr="00042077" w:rsidRDefault="005B7ABA" w:rsidP="005B7AB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Приема</w:t>
            </w:r>
          </w:p>
          <w:p w:rsidR="001D4B4F" w:rsidRPr="00042077" w:rsidRDefault="001D4B4F" w:rsidP="00E21B9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1D4B4F" w:rsidRPr="00042077" w:rsidRDefault="001D4B4F" w:rsidP="00E21B9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7326D" w:rsidRPr="00042077" w:rsidTr="00E21B91">
        <w:trPr>
          <w:trHeight w:val="985"/>
        </w:trPr>
        <w:tc>
          <w:tcPr>
            <w:tcW w:w="2802" w:type="dxa"/>
          </w:tcPr>
          <w:p w:rsidR="0047326D" w:rsidRPr="00042077" w:rsidRDefault="002D41EF" w:rsidP="00E21B9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</w:t>
            </w:r>
            <w:r w:rsidR="00916325" w:rsidRPr="00042077">
              <w:rPr>
                <w:rFonts w:ascii="Times New Roman" w:hAnsi="Times New Roman" w:cs="Times New Roman"/>
                <w:b/>
              </w:rPr>
              <w:t>роф. Богов</w:t>
            </w:r>
          </w:p>
        </w:tc>
        <w:tc>
          <w:tcPr>
            <w:tcW w:w="7087" w:type="dxa"/>
          </w:tcPr>
          <w:p w:rsidR="006053B7" w:rsidRPr="00042077" w:rsidRDefault="006053B7" w:rsidP="000420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  <w:b/>
              </w:rPr>
              <w:t>Предложение:</w:t>
            </w:r>
          </w:p>
          <w:p w:rsidR="006053B7" w:rsidRPr="00042077" w:rsidRDefault="00916325" w:rsidP="00042077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 xml:space="preserve">В раздел </w:t>
            </w:r>
            <w:r w:rsidRPr="00042077">
              <w:rPr>
                <w:rFonts w:ascii="Times New Roman" w:hAnsi="Times New Roman" w:cs="Times New Roman"/>
                <w:lang w:val="en-US"/>
              </w:rPr>
              <w:t>II</w:t>
            </w:r>
            <w:r w:rsidRPr="00042077">
              <w:rPr>
                <w:rFonts w:ascii="Times New Roman" w:hAnsi="Times New Roman" w:cs="Times New Roman"/>
              </w:rPr>
              <w:t>.</w:t>
            </w:r>
            <w:r w:rsidRPr="00042077">
              <w:rPr>
                <w:rFonts w:ascii="Times New Roman" w:hAnsi="Times New Roman" w:cs="Times New Roman"/>
                <w:b/>
              </w:rPr>
              <w:t xml:space="preserve"> </w:t>
            </w:r>
            <w:r w:rsidR="002F5EEB" w:rsidRPr="00042077">
              <w:rPr>
                <w:rFonts w:ascii="Times New Roman" w:hAnsi="Times New Roman" w:cs="Times New Roman"/>
                <w:b/>
              </w:rPr>
              <w:t>„</w:t>
            </w:r>
            <w:r w:rsidRPr="00042077">
              <w:rPr>
                <w:rFonts w:ascii="Times New Roman" w:hAnsi="Times New Roman" w:cs="Times New Roman"/>
              </w:rPr>
              <w:t>Лечение на хистологично доказани гломерулонефрити – остри и хронични, първични и вторични при системни заболявания при лица над 18</w:t>
            </w:r>
            <w:r w:rsidRPr="0004207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години</w:t>
            </w:r>
            <w:r w:rsidR="006053B7" w:rsidRPr="00042077">
              <w:rPr>
                <w:rFonts w:ascii="Times New Roman" w:hAnsi="Times New Roman" w:cs="Times New Roman"/>
              </w:rPr>
              <w:t>“</w:t>
            </w:r>
            <w:r w:rsidRPr="00042077">
              <w:rPr>
                <w:rFonts w:ascii="Times New Roman" w:hAnsi="Times New Roman" w:cs="Times New Roman"/>
              </w:rPr>
              <w:t xml:space="preserve">, т. 2. </w:t>
            </w:r>
            <w:r w:rsidR="006053B7" w:rsidRPr="00042077">
              <w:rPr>
                <w:rFonts w:ascii="Times New Roman" w:hAnsi="Times New Roman" w:cs="Times New Roman"/>
              </w:rPr>
              <w:t>„</w:t>
            </w:r>
            <w:r w:rsidRPr="00042077">
              <w:rPr>
                <w:rFonts w:ascii="Times New Roman" w:hAnsi="Times New Roman" w:cs="Times New Roman"/>
              </w:rPr>
              <w:t>Цитотоксични лекарства</w:t>
            </w:r>
            <w:r w:rsidRPr="0004207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>(цитостатици)</w:t>
            </w:r>
            <w:r w:rsidR="006053B7" w:rsidRPr="00042077">
              <w:rPr>
                <w:rFonts w:ascii="Times New Roman" w:hAnsi="Times New Roman" w:cs="Times New Roman"/>
              </w:rPr>
              <w:t>“</w:t>
            </w:r>
            <w:r w:rsidRPr="00042077">
              <w:rPr>
                <w:rFonts w:ascii="Times New Roman" w:hAnsi="Times New Roman" w:cs="Times New Roman"/>
              </w:rPr>
              <w:t xml:space="preserve">, </w:t>
            </w:r>
            <w:r w:rsidRPr="00042077">
              <w:rPr>
                <w:rFonts w:ascii="Times New Roman" w:hAnsi="Times New Roman" w:cs="Times New Roman"/>
                <w:b/>
              </w:rPr>
              <w:t>да се добави подточка</w:t>
            </w:r>
            <w:r w:rsidR="006053B7" w:rsidRPr="00042077">
              <w:rPr>
                <w:rFonts w:ascii="Times New Roman" w:hAnsi="Times New Roman" w:cs="Times New Roman"/>
                <w:b/>
              </w:rPr>
              <w:t>:</w:t>
            </w:r>
            <w:r w:rsidRPr="00042077">
              <w:rPr>
                <w:rFonts w:ascii="Times New Roman" w:hAnsi="Times New Roman" w:cs="Times New Roman"/>
              </w:rPr>
              <w:t xml:space="preserve"> </w:t>
            </w:r>
          </w:p>
          <w:p w:rsidR="00916325" w:rsidRPr="00042077" w:rsidRDefault="00916325" w:rsidP="0004207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2.15 „Съвременна таргетна терапия</w:t>
            </w:r>
            <w:r w:rsidR="006053B7" w:rsidRPr="00042077">
              <w:rPr>
                <w:rFonts w:ascii="Times New Roman" w:hAnsi="Times New Roman" w:cs="Times New Roman"/>
              </w:rPr>
              <w:t xml:space="preserve"> </w:t>
            </w:r>
            <w:r w:rsidRPr="00042077">
              <w:rPr>
                <w:rFonts w:ascii="Times New Roman" w:hAnsi="Times New Roman" w:cs="Times New Roman"/>
              </w:rPr>
              <w:t xml:space="preserve">Kinpeygo (budesonide с прицелно изменено освобождаване) е нова перорална форма на будезонид с прицелно освобождаване, специално разработена за пациенти с ИгА </w:t>
            </w:r>
            <w:r w:rsidRPr="00042077">
              <w:rPr>
                <w:rFonts w:ascii="Times New Roman" w:hAnsi="Times New Roman" w:cs="Times New Roman"/>
              </w:rPr>
              <w:lastRenderedPageBreak/>
              <w:t>нефрит (IgAN), тъй като е насочена към основната патофизиология на заболяването.</w:t>
            </w:r>
          </w:p>
          <w:p w:rsidR="00916325" w:rsidRPr="00042077" w:rsidRDefault="00916325" w:rsidP="0004207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Технологията за фокусирано освобождаване на Kinpeygo гарантира, че активният компонент се освобождава в дисталния илеум.</w:t>
            </w:r>
          </w:p>
          <w:p w:rsidR="00916325" w:rsidRPr="00042077" w:rsidRDefault="00916325" w:rsidP="0004207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hAnsi="Times New Roman" w:cs="Times New Roman"/>
              </w:rPr>
              <w:t>Kinpeygo потиска В-клетките на лигавицата, които се намират в Пайеровите плаки в илеума, и инхибира тяхната пролиферация и диференциация до плазмени клетки, които произвеждат мукозни антитела IgA1 с дефицит на галактоза (Gd-IgA1). Поради това се очаква да потисне образуването на антитела, насочени към Gd-IgA1 и образуването на имунни комплекси в системната циркулация и по този начин да се предотвратят последващите ефекти на отлагане на имунни комплекси, съдържащи Gd-IgA1 в гломерулния мезангиум, които са причина за развитие на гломерулонефрит и загуба на бъбречна функция.</w:t>
            </w:r>
          </w:p>
          <w:p w:rsidR="00916325" w:rsidRPr="00450D77" w:rsidRDefault="00916325" w:rsidP="0004207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50D77">
              <w:rPr>
                <w:rFonts w:ascii="Times New Roman" w:hAnsi="Times New Roman" w:cs="Times New Roman"/>
              </w:rPr>
              <w:t>Kinpeygo е показан за лечение на първична имуноглобулин A (IgA) нефропатия (IgAN) при възрастни, изложени на риск от бърза прогресия на заболяването, със съотношение протеин/креатинин в урината (UPCR) ≥1,5 g/грам. Препоръчителната доза е 16 mg веднъж дневно сутрин, поне един час преди хранене, в продължение на 9 месеца.</w:t>
            </w:r>
          </w:p>
          <w:p w:rsidR="0047326D" w:rsidRPr="00042077" w:rsidRDefault="00916325" w:rsidP="0004207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50D77">
              <w:rPr>
                <w:rFonts w:ascii="Times New Roman" w:hAnsi="Times New Roman" w:cs="Times New Roman"/>
              </w:rPr>
              <w:t>Когато лечението трябва да се прекрати, дозата трябва да се намали до 8 mg веднъж дневно в продължение на 2 седмици; дозата може да се намали до 4 mg веднъж дневно в продължение на още 2 седмици.“</w:t>
            </w:r>
          </w:p>
          <w:p w:rsidR="006053B7" w:rsidRPr="00042077" w:rsidRDefault="006053B7" w:rsidP="0004207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2F5EEB" w:rsidRPr="00042077" w:rsidRDefault="002F5EEB" w:rsidP="0004207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ind w:left="0" w:firstLine="360"/>
              <w:jc w:val="both"/>
              <w:rPr>
                <w:rFonts w:ascii="Times New Roman" w:eastAsia="CIDFont+F2" w:hAnsi="Times New Roman" w:cs="Times New Roman"/>
              </w:rPr>
            </w:pPr>
            <w:r w:rsidRPr="00042077">
              <w:rPr>
                <w:rFonts w:ascii="Times New Roman" w:hAnsi="Times New Roman" w:cs="Times New Roman"/>
                <w:b/>
              </w:rPr>
              <w:t xml:space="preserve">В Раздел </w:t>
            </w:r>
            <w:r w:rsidRPr="00042077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042077">
              <w:rPr>
                <w:rFonts w:ascii="Times New Roman" w:hAnsi="Times New Roman" w:cs="Times New Roman"/>
                <w:b/>
              </w:rPr>
              <w:t>. „Лечение на хроничното бъбречно заболяване“, подраздел „Хронично бъбречно заболяване“, в т. 1 „Лечението е строго индивидуално и включва:“ след текста: „</w:t>
            </w:r>
            <w:r w:rsidRPr="00042077">
              <w:rPr>
                <w:rFonts w:ascii="Times New Roman" w:eastAsia="CIDFont+F2" w:hAnsi="Times New Roman" w:cs="Times New Roman"/>
              </w:rPr>
              <w:t xml:space="preserve">SGLT2- нхибиторите водят до значимо снижение на релативния риск от развитие или влошаване на съществуваща нефропатия (емпаглифлозин, </w:t>
            </w:r>
          </w:p>
          <w:p w:rsidR="002F5EEB" w:rsidRPr="00042077" w:rsidRDefault="002F5EEB" w:rsidP="000420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IDFont+F2" w:hAnsi="Times New Roman" w:cs="Times New Roman"/>
              </w:rPr>
            </w:pPr>
            <w:r w:rsidRPr="00042077">
              <w:rPr>
                <w:rFonts w:ascii="Times New Roman" w:eastAsia="CIDFont+F2" w:hAnsi="Times New Roman" w:cs="Times New Roman"/>
              </w:rPr>
              <w:lastRenderedPageBreak/>
              <w:t>канаглифлозин, дапаглифлозин); Дапаглифлозин води и до по-нисък риск от смърт по всякаква причина при пациенти с ХБЗ със/без ЗДТ2. Налице са убедителни доказателства, че SGLT2-инхибиторите имат сигнификантни нефро- и кардиопротективни ефекти, независимо от стадия, причината за ХБЗ, наличието на захарен диабет тип 2 и сърдечносъдово заболяване. SGLT2-инхибиторите забавят прогресията на ХБЗ, намалява случаите, достигнали хемодиализа или 20</w:t>
            </w:r>
          </w:p>
          <w:p w:rsidR="002F5EEB" w:rsidRPr="00042077" w:rsidRDefault="002F5EEB" w:rsidP="000420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42077">
              <w:rPr>
                <w:rFonts w:ascii="Times New Roman" w:eastAsia="CIDFont+F2" w:hAnsi="Times New Roman" w:cs="Times New Roman"/>
              </w:rPr>
              <w:t>бъбречна трансплантация, сърдечно-съдовите събития,  хоспитализациите поради сърдечна недостатъчност и риска от фатален изход по всяка причина. SGLT2- инхибиторите са предназначени за лечение на възрастни пациенти с хронично бъбречно заболяване в стадии 1, 2, 3a и 3b съгласно дефиницията на KDOQI.</w:t>
            </w:r>
            <w:r w:rsidRPr="00042077">
              <w:rPr>
                <w:rFonts w:ascii="Times New Roman" w:hAnsi="Times New Roman" w:cs="Times New Roman"/>
                <w:b/>
              </w:rPr>
              <w:t>“ да се добави нова подточка със следния текст:</w:t>
            </w:r>
            <w:r w:rsidRPr="00042077">
              <w:rPr>
                <w:rFonts w:ascii="Times New Roman" w:hAnsi="Times New Roman" w:cs="Times New Roman"/>
              </w:rPr>
              <w:t xml:space="preserve"> „Finerenone е нов нестероиден високо-селективен антагонист на минералкортикоидния рецептор (MR). Свързването му с MR води до блокиране набирането на транскрипционни коактиватори, включващи се в експресията на провъзпалителни и профиброзни медиатори. Finerenone е показан за лечение на ХБЗ (с албуминурия), свързано със ЗДТ2 при възрастни пациенти, при които той демонстрира сигнификантно намаление на риска от прогресия на ХБЗ и сърдечно-съдови събития. Докладваните ползи са на фона на максимално поносима доза блокери на RAAS. Подходящите пациенти са тези с албуминурия (≥30 mg/g [≥3 mg/mmol]), eGFR ≥25 до над 90ml/min/1.73 m2 и серумен калий ≤ 4,8mmol/l.</w:t>
            </w:r>
          </w:p>
          <w:p w:rsidR="006053B7" w:rsidRPr="00042077" w:rsidRDefault="002F5EEB" w:rsidP="000420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IDFont+F2" w:hAnsi="Times New Roman" w:cs="Times New Roman"/>
                <w:lang w:val="en-US"/>
              </w:rPr>
            </w:pPr>
            <w:r w:rsidRPr="00042077">
              <w:rPr>
                <w:rFonts w:ascii="Times New Roman" w:hAnsi="Times New Roman" w:cs="Times New Roman"/>
              </w:rPr>
              <w:t>Международните препоръки ADA 2023, KDIGO 2024 и ESC 2023 препоръчват Finerenone наред със SGLT2-инхибиторите, като подходящо лечение на пациентите със ЗДТ2 за намаляне на риска от прогресия на ХБЗ и риска от сърдечно-съдови събития.“</w:t>
            </w:r>
            <w:r w:rsidR="008B44BF" w:rsidRPr="0004207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5B7ABA" w:rsidRPr="00042077" w:rsidRDefault="005B7ABA" w:rsidP="005B7AB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Приема</w:t>
            </w:r>
          </w:p>
          <w:p w:rsidR="0047326D" w:rsidRPr="00042077" w:rsidRDefault="0047326D" w:rsidP="00E21B9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47326D" w:rsidRPr="00042077" w:rsidRDefault="0047326D" w:rsidP="00E21B9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132AA" w:rsidRPr="00042077" w:rsidTr="00E21B91">
        <w:trPr>
          <w:trHeight w:val="985"/>
        </w:trPr>
        <w:tc>
          <w:tcPr>
            <w:tcW w:w="2802" w:type="dxa"/>
          </w:tcPr>
          <w:p w:rsidR="003132AA" w:rsidRPr="00042077" w:rsidRDefault="003132AA" w:rsidP="00E21B9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042077">
              <w:rPr>
                <w:rFonts w:ascii="Times New Roman" w:hAnsi="Times New Roman" w:cs="Times New Roman"/>
                <w:b/>
                <w:lang w:val="en-US"/>
              </w:rPr>
              <w:lastRenderedPageBreak/>
              <w:t>B</w:t>
            </w:r>
            <w:r w:rsidRPr="00042077">
              <w:rPr>
                <w:rFonts w:ascii="Times New Roman" w:hAnsi="Times New Roman" w:cs="Times New Roman"/>
                <w:b/>
              </w:rPr>
              <w:t>oe</w:t>
            </w:r>
            <w:r w:rsidR="00042077" w:rsidRPr="0004207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042077">
              <w:rPr>
                <w:rFonts w:ascii="Times New Roman" w:hAnsi="Times New Roman" w:cs="Times New Roman"/>
                <w:b/>
              </w:rPr>
              <w:t>ringer</w:t>
            </w:r>
            <w:r w:rsidR="009C57E3">
              <w:rPr>
                <w:rFonts w:ascii="Times New Roman" w:hAnsi="Times New Roman" w:cs="Times New Roman"/>
                <w:b/>
              </w:rPr>
              <w:t xml:space="preserve"> </w:t>
            </w:r>
            <w:r w:rsidR="009C57E3" w:rsidRPr="009C57E3">
              <w:rPr>
                <w:rFonts w:ascii="Times New Roman" w:hAnsi="Times New Roman" w:cs="Times New Roman"/>
                <w:b/>
              </w:rPr>
              <w:t>Ingelheim</w:t>
            </w:r>
          </w:p>
        </w:tc>
        <w:tc>
          <w:tcPr>
            <w:tcW w:w="7087" w:type="dxa"/>
          </w:tcPr>
          <w:p w:rsidR="009C57E3" w:rsidRPr="009C57E3" w:rsidRDefault="009C57E3" w:rsidP="00F22B57">
            <w:pPr>
              <w:keepNext/>
              <w:keepLines/>
              <w:tabs>
                <w:tab w:val="left" w:pos="1300"/>
                <w:tab w:val="left" w:pos="1301"/>
                <w:tab w:val="left" w:pos="3089"/>
                <w:tab w:val="left" w:pos="4838"/>
                <w:tab w:val="left" w:pos="5539"/>
                <w:tab w:val="left" w:pos="6817"/>
              </w:tabs>
              <w:spacing w:before="89" w:line="360" w:lineRule="auto"/>
              <w:ind w:right="221"/>
              <w:outlineLvl w:val="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C57E3">
              <w:rPr>
                <w:rFonts w:ascii="Times New Roman" w:eastAsia="Times New Roman" w:hAnsi="Times New Roman" w:cs="Times New Roman"/>
                <w:b/>
                <w:lang w:val="ru-RU"/>
              </w:rPr>
              <w:t>Правят следните предложения:</w:t>
            </w:r>
          </w:p>
          <w:p w:rsidR="009C57E3" w:rsidRPr="009C57E3" w:rsidRDefault="009C57E3" w:rsidP="00F22B57">
            <w:pPr>
              <w:keepNext/>
              <w:keepLines/>
              <w:numPr>
                <w:ilvl w:val="0"/>
                <w:numId w:val="14"/>
              </w:numPr>
              <w:tabs>
                <w:tab w:val="left" w:pos="1300"/>
                <w:tab w:val="left" w:pos="1301"/>
                <w:tab w:val="left" w:pos="3089"/>
                <w:tab w:val="left" w:pos="4838"/>
                <w:tab w:val="left" w:pos="5539"/>
                <w:tab w:val="left" w:pos="6817"/>
              </w:tabs>
              <w:spacing w:before="89" w:line="360" w:lineRule="auto"/>
              <w:ind w:right="221"/>
              <w:jc w:val="both"/>
              <w:outlineLvl w:val="0"/>
              <w:rPr>
                <w:rFonts w:ascii="Times New Roman" w:eastAsia="Times New Roman" w:hAnsi="Times New Roman" w:cs="Times New Roman"/>
                <w:lang w:val="ru-RU"/>
              </w:rPr>
            </w:pPr>
            <w:r w:rsidRPr="009C57E3">
              <w:rPr>
                <w:rFonts w:ascii="Times New Roman" w:eastAsia="Times New Roman" w:hAnsi="Times New Roman" w:cs="Times New Roman"/>
                <w:lang w:val="ru-RU"/>
              </w:rPr>
              <w:t xml:space="preserve">В раздел </w:t>
            </w:r>
            <w:r w:rsidRPr="009C57E3">
              <w:rPr>
                <w:rFonts w:ascii="Times New Roman" w:eastAsia="Times New Roman" w:hAnsi="Times New Roman" w:cs="Times New Roman"/>
                <w:lang w:val="en-US"/>
              </w:rPr>
              <w:t>III</w:t>
            </w:r>
            <w:r w:rsidRPr="009C57E3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9C57E3">
              <w:rPr>
                <w:rFonts w:ascii="Times New Roman" w:eastAsia="Times New Roman" w:hAnsi="Times New Roman" w:cs="Times New Roman"/>
              </w:rPr>
              <w:t>Гломерулни</w:t>
            </w:r>
            <w:r w:rsidRPr="009C57E3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r w:rsidRPr="009C57E3">
              <w:rPr>
                <w:rFonts w:ascii="Times New Roman" w:eastAsia="Times New Roman" w:hAnsi="Times New Roman" w:cs="Times New Roman"/>
              </w:rPr>
              <w:t>увреждания</w:t>
            </w:r>
            <w:r w:rsidRPr="009C57E3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r w:rsidRPr="009C57E3">
              <w:rPr>
                <w:rFonts w:ascii="Times New Roman" w:eastAsia="Times New Roman" w:hAnsi="Times New Roman" w:cs="Times New Roman"/>
              </w:rPr>
              <w:t>при</w:t>
            </w:r>
            <w:r w:rsidRPr="009C57E3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r w:rsidRPr="009C57E3">
              <w:rPr>
                <w:rFonts w:ascii="Times New Roman" w:eastAsia="Times New Roman" w:hAnsi="Times New Roman" w:cs="Times New Roman"/>
              </w:rPr>
              <w:t>болести,</w:t>
            </w:r>
          </w:p>
          <w:p w:rsidR="009C57E3" w:rsidRPr="009C57E3" w:rsidRDefault="009C57E3" w:rsidP="00F22B5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C57E3">
              <w:rPr>
                <w:rFonts w:ascii="Times New Roman" w:eastAsia="Calibri" w:hAnsi="Times New Roman" w:cs="Times New Roman"/>
                <w:spacing w:val="-1"/>
              </w:rPr>
              <w:t xml:space="preserve">класифицирани </w:t>
            </w:r>
            <w:r w:rsidRPr="009C57E3">
              <w:rPr>
                <w:rFonts w:ascii="Times New Roman" w:eastAsia="Calibri" w:hAnsi="Times New Roman" w:cs="Times New Roman"/>
                <w:spacing w:val="-1"/>
                <w:lang w:val="ru-RU"/>
              </w:rPr>
              <w:t xml:space="preserve"> </w:t>
            </w:r>
            <w:r w:rsidRPr="009C57E3">
              <w:rPr>
                <w:rFonts w:ascii="Times New Roman" w:eastAsia="Calibri" w:hAnsi="Times New Roman" w:cs="Times New Roman"/>
              </w:rPr>
              <w:t xml:space="preserve">другаде, </w:t>
            </w:r>
            <w:r w:rsidRPr="009C57E3">
              <w:rPr>
                <w:rFonts w:ascii="Times New Roman" w:eastAsia="Calibri" w:hAnsi="Times New Roman" w:cs="Times New Roman"/>
                <w:b/>
              </w:rPr>
              <w:t>т. 2 да се промени по следния начин:</w:t>
            </w:r>
          </w:p>
          <w:p w:rsidR="009C57E3" w:rsidRPr="009C57E3" w:rsidRDefault="009C57E3" w:rsidP="00F22B5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9C57E3">
              <w:rPr>
                <w:rFonts w:ascii="Times New Roman" w:eastAsia="Calibri" w:hAnsi="Times New Roman" w:cs="Times New Roman"/>
                <w:lang w:val="ru-RU"/>
              </w:rPr>
              <w:t>«</w:t>
            </w:r>
            <w:r w:rsidRPr="009C57E3">
              <w:rPr>
                <w:rFonts w:ascii="Times New Roman" w:eastAsia="Calibri" w:hAnsi="Times New Roman" w:cs="Times New Roman"/>
              </w:rPr>
              <w:t>2. SGLT2-инхибиторите водят до значимо снижение на релативния риск от развитие или влошаване на съществуваща нефропатия (емпаглифлозин, канаглифлозин, дапаглифлозин); Дапаглифлозин води и до по-нисък риск от смърт по всякаква причина при пациенти с ХБЗ със/без ЗДТ2.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bookmarkStart w:id="0" w:name="_Hlk142394502"/>
            <w:r w:rsidRPr="005B7ABA">
              <w:rPr>
                <w:rFonts w:ascii="Times New Roman" w:eastAsia="Calibri" w:hAnsi="Times New Roman" w:cs="Times New Roman"/>
              </w:rPr>
              <w:t>Емпаглифлозин води и до по-нисък риск от хоспитализация (първа и поредна) по всякаква причина при пациенти с ХБЗ със/без ЗДТ2.</w:t>
            </w:r>
            <w:r w:rsidRPr="005B7ABA">
              <w:rPr>
                <w:rFonts w:ascii="Times New Roman" w:eastAsia="Calibri" w:hAnsi="Times New Roman" w:cs="Times New Roman"/>
                <w:lang w:val="ru-RU"/>
              </w:rPr>
              <w:t>»</w:t>
            </w:r>
          </w:p>
          <w:p w:rsidR="009C57E3" w:rsidRPr="009C57E3" w:rsidRDefault="009C57E3" w:rsidP="00F22B5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9C57E3">
              <w:rPr>
                <w:rFonts w:ascii="Times New Roman" w:eastAsia="Calibri" w:hAnsi="Times New Roman" w:cs="Times New Roman"/>
                <w:b/>
                <w:lang w:val="ru-RU"/>
              </w:rPr>
              <w:t>Мотиви: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В проучването 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EMPA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>-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KIDNEY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като вторична крайна точка </w:t>
            </w:r>
            <w:r w:rsidRPr="009C57E3">
              <w:rPr>
                <w:rFonts w:ascii="Times New Roman" w:eastAsia="Calibri" w:hAnsi="Times New Roman" w:cs="Times New Roman"/>
              </w:rPr>
              <w:t>Емпаглифлозин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води до редукция на риска от хоспитализация (първа и поредна) по всякаква причина при пациенти с ХБЗ със/без ЗДТ2 (hazard ratio, 0.86; 95% CI, 0.78 to 0.95; P = 0.003).</w:t>
            </w:r>
            <w:r w:rsidRPr="009C57E3">
              <w:rPr>
                <w:rFonts w:ascii="Times New Roman" w:eastAsia="Calibri" w:hAnsi="Times New Roman" w:cs="Times New Roman"/>
                <w:vertAlign w:val="superscript"/>
                <w:lang w:val="ru-RU"/>
              </w:rPr>
              <w:t>1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Информацията за посочения резултат от проучването 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EMPA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>-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KIDNEY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е налична и в Кратката характеристика на продукта емпаглифлозин.</w:t>
            </w:r>
            <w:r w:rsidRPr="009C57E3">
              <w:rPr>
                <w:rFonts w:ascii="Times New Roman" w:eastAsia="Calibri" w:hAnsi="Times New Roman" w:cs="Times New Roman"/>
                <w:vertAlign w:val="superscript"/>
                <w:lang w:val="ru-RU"/>
              </w:rPr>
              <w:t>2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  <w:p w:rsidR="009C57E3" w:rsidRPr="009C57E3" w:rsidRDefault="009C57E3" w:rsidP="00F22B57">
            <w:pPr>
              <w:numPr>
                <w:ilvl w:val="0"/>
                <w:numId w:val="15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lang w:val="en-US"/>
              </w:rPr>
            </w:pPr>
            <w:r w:rsidRPr="009C57E3">
              <w:rPr>
                <w:rFonts w:ascii="Times New Roman" w:eastAsia="Calibri" w:hAnsi="Times New Roman" w:cs="Times New Roman"/>
                <w:i/>
                <w:iCs/>
                <w:lang w:val="en-US"/>
              </w:rPr>
              <w:t>Herrington, W.G. et al. Empagliflozin in Patients with Chronic Kidney Disease, N Engl J Med, online publication on November 4, 2022, at NEJM.org. DOI: 10.1056/NEJMoa2204233.</w:t>
            </w:r>
          </w:p>
          <w:p w:rsidR="009C57E3" w:rsidRPr="009C57E3" w:rsidRDefault="009C57E3" w:rsidP="00F22B57">
            <w:pPr>
              <w:numPr>
                <w:ilvl w:val="0"/>
                <w:numId w:val="15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9C57E3">
              <w:rPr>
                <w:rFonts w:ascii="Times New Roman" w:eastAsia="Calibri" w:hAnsi="Times New Roman" w:cs="Times New Roman"/>
                <w:i/>
                <w:iCs/>
              </w:rPr>
              <w:t>Кратка характеристика на продукта емпаглифлозин</w:t>
            </w:r>
            <w:r w:rsidRPr="009C57E3">
              <w:rPr>
                <w:rFonts w:ascii="Times New Roman" w:eastAsia="Calibri" w:hAnsi="Times New Roman" w:cs="Times New Roman"/>
                <w:i/>
                <w:iCs/>
                <w:lang w:val="ru-RU"/>
              </w:rPr>
              <w:t>.</w:t>
            </w:r>
          </w:p>
          <w:bookmarkEnd w:id="0"/>
          <w:p w:rsidR="009C57E3" w:rsidRPr="009C57E3" w:rsidRDefault="009C57E3" w:rsidP="00F22B5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</w:p>
          <w:p w:rsidR="009C57E3" w:rsidRPr="005B7ABA" w:rsidRDefault="009C57E3" w:rsidP="00F22B5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ind w:left="0" w:firstLine="352"/>
              <w:contextualSpacing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9C57E3">
              <w:rPr>
                <w:rFonts w:ascii="Times New Roman" w:eastAsia="Calibri" w:hAnsi="Times New Roman" w:cs="Times New Roman"/>
                <w:iCs/>
              </w:rPr>
              <w:t>В раздел</w:t>
            </w:r>
            <w:r w:rsidRPr="009C57E3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VI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. </w:t>
            </w:r>
            <w:r w:rsidRPr="009C57E3">
              <w:rPr>
                <w:rFonts w:ascii="Times New Roman" w:eastAsia="Calibri" w:hAnsi="Times New Roman" w:cs="Times New Roman"/>
              </w:rPr>
              <w:t>Лечение на хроничното бъбречно заболяване, т. 2 текстът: „</w:t>
            </w:r>
            <w:r w:rsidRPr="009C57E3">
              <w:rPr>
                <w:rFonts w:ascii="Times New Roman" w:eastAsia="Calibri" w:hAnsi="Times New Roman" w:cs="Times New Roman"/>
                <w:b/>
                <w:bCs/>
                <w:i/>
                <w:iCs/>
                <w:lang w:val="en-US"/>
              </w:rPr>
              <w:t>SGLT</w:t>
            </w:r>
            <w:r w:rsidRPr="009C57E3">
              <w:rPr>
                <w:rFonts w:ascii="Times New Roman" w:eastAsia="Calibri" w:hAnsi="Times New Roman" w:cs="Times New Roman"/>
                <w:b/>
                <w:bCs/>
                <w:i/>
                <w:iCs/>
                <w:lang w:val="ru-RU"/>
              </w:rPr>
              <w:t>2-</w:t>
            </w:r>
            <w:r w:rsidRPr="009C57E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инхибитори</w:t>
            </w:r>
            <w:r w:rsidRPr="009C57E3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r w:rsidRPr="009C57E3">
              <w:rPr>
                <w:rFonts w:ascii="Times New Roman" w:eastAsia="Calibri" w:hAnsi="Times New Roman" w:cs="Times New Roman"/>
              </w:rPr>
              <w:t xml:space="preserve">с доказани нефропротективни и кардиопротективни, ползи. Тези благоприятни ефекти са независими от глюкозопонижаващия им ефект, което предполага, че са налице други механизми на действие за органна протекция като намаляване на интрагломерулното налягане и хиперфилтрацията.“ </w:t>
            </w:r>
            <w:r w:rsidRPr="009C57E3">
              <w:rPr>
                <w:rFonts w:ascii="Times New Roman" w:eastAsia="Calibri" w:hAnsi="Times New Roman" w:cs="Times New Roman"/>
                <w:b/>
              </w:rPr>
              <w:t xml:space="preserve">да се промени по </w:t>
            </w:r>
            <w:r w:rsidRPr="009C57E3">
              <w:rPr>
                <w:rFonts w:ascii="Times New Roman" w:eastAsia="Calibri" w:hAnsi="Times New Roman" w:cs="Times New Roman"/>
                <w:b/>
              </w:rPr>
              <w:lastRenderedPageBreak/>
              <w:t>следния начин</w:t>
            </w:r>
            <w:r w:rsidRPr="009C57E3">
              <w:rPr>
                <w:rFonts w:ascii="Times New Roman" w:eastAsia="Calibri" w:hAnsi="Times New Roman" w:cs="Times New Roman"/>
              </w:rPr>
              <w:t>: „2. SGLT2-инхибиторите водят до значимо снижение на релативния риск от развитие или влошаване на съществуваща нефропатия (емпаглифлозин, канаглифлозин, дапаглифлозин); Дапаглифлозин води и до по-нисък риск от смърт по всякаква причина при пациенти с ХБЗ със/без ЗДТ2</w:t>
            </w:r>
            <w:r w:rsidRPr="005B7ABA">
              <w:rPr>
                <w:rFonts w:ascii="Times New Roman" w:eastAsia="Calibri" w:hAnsi="Times New Roman" w:cs="Times New Roman"/>
              </w:rPr>
              <w:t>. Емпаглифлозин води и до по-нисък риск от хоспитализация</w:t>
            </w:r>
            <w:r w:rsidRPr="005B7ABA">
              <w:rPr>
                <w:rFonts w:ascii="Times New Roman" w:eastAsia="Calibri" w:hAnsi="Times New Roman" w:cs="Times New Roman"/>
                <w:lang w:val="ru-RU"/>
              </w:rPr>
              <w:t xml:space="preserve"> (</w:t>
            </w:r>
            <w:r w:rsidRPr="005B7ABA">
              <w:rPr>
                <w:rFonts w:ascii="Times New Roman" w:eastAsia="Calibri" w:hAnsi="Times New Roman" w:cs="Times New Roman"/>
              </w:rPr>
              <w:t>първа и поредна) по всякаква причина при пациенти с ХБЗ със/без ЗДТ2.</w:t>
            </w:r>
            <w:r w:rsidRPr="005B7ABA">
              <w:rPr>
                <w:rFonts w:ascii="Times New Roman" w:eastAsia="Calibri" w:hAnsi="Times New Roman" w:cs="Times New Roman"/>
                <w:lang w:val="ru-RU"/>
              </w:rPr>
              <w:t>»</w:t>
            </w:r>
          </w:p>
          <w:p w:rsidR="009C57E3" w:rsidRPr="009C57E3" w:rsidRDefault="009C57E3" w:rsidP="00F22B5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9C57E3">
              <w:rPr>
                <w:rFonts w:ascii="Times New Roman" w:eastAsia="Calibri" w:hAnsi="Times New Roman" w:cs="Times New Roman"/>
                <w:b/>
                <w:lang w:val="ru-RU"/>
              </w:rPr>
              <w:t>Мотиви: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В проучването 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EMPA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>-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KIDNEY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като вторична крайна точка </w:t>
            </w:r>
            <w:r w:rsidRPr="009C57E3">
              <w:rPr>
                <w:rFonts w:ascii="Times New Roman" w:eastAsia="Calibri" w:hAnsi="Times New Roman" w:cs="Times New Roman"/>
              </w:rPr>
              <w:t>Емпаглифлозин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води до редукция на риска от хоспитализация (първа и поредна) по всякаква причина при пациенти с ХБЗ със/без ЗДТ2 (hazard ratio, 0.86; 95% CI, 0.78 to 0.95; P = 0.003).</w:t>
            </w:r>
            <w:r w:rsidRPr="009C57E3">
              <w:rPr>
                <w:rFonts w:ascii="Times New Roman" w:eastAsia="Calibri" w:hAnsi="Times New Roman" w:cs="Times New Roman"/>
                <w:vertAlign w:val="superscript"/>
                <w:lang w:val="ru-RU"/>
              </w:rPr>
              <w:t>1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Информацията за посочения резултат от проучването 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EMPA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>-</w:t>
            </w:r>
            <w:r w:rsidRPr="009C57E3">
              <w:rPr>
                <w:rFonts w:ascii="Times New Roman" w:eastAsia="Calibri" w:hAnsi="Times New Roman" w:cs="Times New Roman"/>
                <w:lang w:val="en-US"/>
              </w:rPr>
              <w:t>KIDNEY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е налична и в Кратката характеристика на продукта емпаглифлозин.</w:t>
            </w:r>
            <w:r w:rsidRPr="009C57E3">
              <w:rPr>
                <w:rFonts w:ascii="Times New Roman" w:eastAsia="Calibri" w:hAnsi="Times New Roman" w:cs="Times New Roman"/>
                <w:vertAlign w:val="superscript"/>
                <w:lang w:val="ru-RU"/>
              </w:rPr>
              <w:t>2</w:t>
            </w: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  <w:p w:rsidR="009C57E3" w:rsidRPr="009C57E3" w:rsidRDefault="009C57E3" w:rsidP="00F22B57">
            <w:pPr>
              <w:numPr>
                <w:ilvl w:val="0"/>
                <w:numId w:val="16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9C57E3">
              <w:rPr>
                <w:rFonts w:ascii="Times New Roman" w:eastAsia="Calibri" w:hAnsi="Times New Roman" w:cs="Times New Roman"/>
                <w:i/>
                <w:iCs/>
              </w:rPr>
              <w:t>Herrington, W.G. et al. Empagliflozin in Patients with Chronic Kidney Disease, N Engl J Med, online publication on November 4, 2022, at NEJM.org. DOI: 10.1056/NEJMoa2204233.</w:t>
            </w:r>
          </w:p>
          <w:p w:rsidR="009C57E3" w:rsidRPr="009C57E3" w:rsidRDefault="009C57E3" w:rsidP="00F22B57">
            <w:pPr>
              <w:numPr>
                <w:ilvl w:val="0"/>
                <w:numId w:val="16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9C57E3">
              <w:rPr>
                <w:rFonts w:ascii="Times New Roman" w:eastAsia="Calibri" w:hAnsi="Times New Roman" w:cs="Times New Roman"/>
                <w:i/>
                <w:iCs/>
              </w:rPr>
              <w:t>Кратка характеристика на продукта емпаглифлозин</w:t>
            </w:r>
            <w:r w:rsidRPr="009C57E3">
              <w:rPr>
                <w:rFonts w:ascii="Times New Roman" w:eastAsia="Calibri" w:hAnsi="Times New Roman" w:cs="Times New Roman"/>
                <w:i/>
                <w:iCs/>
                <w:lang w:val="ru-RU"/>
              </w:rPr>
              <w:t>.</w:t>
            </w:r>
          </w:p>
          <w:p w:rsidR="009C57E3" w:rsidRPr="009C57E3" w:rsidRDefault="009C57E3" w:rsidP="00F22B5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Calibri" w:eastAsia="Calibri" w:hAnsi="Calibri" w:cs="Times New Roman"/>
              </w:rPr>
            </w:pPr>
            <w:r w:rsidRPr="009C57E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  <w:p w:rsidR="003132AA" w:rsidRPr="00042077" w:rsidRDefault="003132AA" w:rsidP="0091632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5B7ABA" w:rsidRPr="00042077" w:rsidRDefault="005B7ABA" w:rsidP="005B7AB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Приема</w:t>
            </w:r>
          </w:p>
          <w:p w:rsidR="003132AA" w:rsidRPr="00042077" w:rsidRDefault="003132AA" w:rsidP="00E21B9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3132AA" w:rsidRPr="00042077" w:rsidRDefault="003132AA" w:rsidP="00E21B9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531A8" w:rsidRPr="00042077" w:rsidRDefault="009531A8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9531A8" w:rsidRPr="00042077" w:rsidRDefault="009531A8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CB4A74" w:rsidRPr="00042077" w:rsidRDefault="00294B9B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06.</w:t>
      </w:r>
      <w:bookmarkStart w:id="1" w:name="_GoBack"/>
      <w:bookmarkEnd w:id="1"/>
      <w:r w:rsidR="005B7ABA">
        <w:rPr>
          <w:rFonts w:ascii="Times New Roman" w:eastAsia="Times New Roman" w:hAnsi="Times New Roman" w:cs="Times New Roman"/>
          <w:b/>
          <w:bCs/>
          <w:lang w:val="en-US"/>
        </w:rPr>
        <w:t>06</w:t>
      </w:r>
      <w:r w:rsidR="009531A8" w:rsidRPr="00042077">
        <w:rPr>
          <w:rFonts w:ascii="Times New Roman" w:eastAsia="Times New Roman" w:hAnsi="Times New Roman" w:cs="Times New Roman"/>
          <w:b/>
          <w:bCs/>
        </w:rPr>
        <w:t>.2024</w:t>
      </w:r>
      <w:r w:rsidR="00794B4A" w:rsidRPr="00042077">
        <w:rPr>
          <w:rFonts w:ascii="Times New Roman" w:eastAsia="Times New Roman" w:hAnsi="Times New Roman" w:cs="Times New Roman"/>
          <w:b/>
          <w:bCs/>
        </w:rPr>
        <w:t xml:space="preserve"> г.</w:t>
      </w:r>
    </w:p>
    <w:p w:rsidR="000A1814" w:rsidRPr="00042077" w:rsidRDefault="000A1814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0A1814" w:rsidRPr="00042077" w:rsidRDefault="000A1814" w:rsidP="00CB4A7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</w:rPr>
      </w:pPr>
    </w:p>
    <w:p w:rsidR="00CB4A74" w:rsidRPr="00042077" w:rsidRDefault="00D170C1" w:rsidP="00CB4A74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b/>
          <w:bCs/>
          <w:lang w:val="en-US"/>
        </w:rPr>
      </w:pPr>
      <w:r w:rsidRPr="00042077">
        <w:rPr>
          <w:rFonts w:ascii="Times New Roman" w:eastAsia="Times New Roman" w:hAnsi="Times New Roman" w:cs="Times New Roman"/>
          <w:b/>
          <w:bCs/>
        </w:rPr>
        <w:t>АЛБЕНА КИРКОВА:</w:t>
      </w:r>
    </w:p>
    <w:p w:rsidR="000A1814" w:rsidRPr="00042077" w:rsidRDefault="00D170C1" w:rsidP="00AC329A">
      <w:pPr>
        <w:spacing w:after="0" w:line="240" w:lineRule="auto"/>
        <w:ind w:left="8496" w:firstLine="708"/>
        <w:rPr>
          <w:rFonts w:ascii="Times New Roman" w:eastAsia="Calibri" w:hAnsi="Times New Roman" w:cs="Times New Roman"/>
        </w:rPr>
      </w:pPr>
      <w:r w:rsidRPr="00042077">
        <w:rPr>
          <w:rFonts w:ascii="Times New Roman" w:eastAsia="Times New Roman" w:hAnsi="Times New Roman" w:cs="Times New Roman"/>
          <w:bCs/>
          <w:i/>
        </w:rPr>
        <w:t>и.д.</w:t>
      </w:r>
      <w:r w:rsidRPr="00042077">
        <w:rPr>
          <w:rFonts w:ascii="Times New Roman" w:eastAsia="Times New Roman" w:hAnsi="Times New Roman" w:cs="Times New Roman"/>
          <w:bCs/>
          <w:i/>
          <w:lang w:val="en-US"/>
        </w:rPr>
        <w:t xml:space="preserve"> </w:t>
      </w:r>
      <w:r w:rsidR="00CB4A74" w:rsidRPr="00042077">
        <w:rPr>
          <w:rFonts w:ascii="Times New Roman" w:eastAsia="Times New Roman" w:hAnsi="Times New Roman" w:cs="Times New Roman"/>
          <w:bCs/>
          <w:i/>
        </w:rPr>
        <w:t>Главен секретар на НСЦРЛП</w:t>
      </w:r>
    </w:p>
    <w:p w:rsidR="00415A97" w:rsidRPr="00042077" w:rsidRDefault="00415A97" w:rsidP="00CB4A74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415A97" w:rsidRPr="00042077" w:rsidSect="00AC329A">
      <w:pgSz w:w="16838" w:h="11906" w:orient="landscape"/>
      <w:pgMar w:top="568" w:right="141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5C" w:rsidRDefault="00097F5C" w:rsidP="00D85D07">
      <w:pPr>
        <w:spacing w:after="0" w:line="240" w:lineRule="auto"/>
      </w:pPr>
      <w:r>
        <w:separator/>
      </w:r>
    </w:p>
  </w:endnote>
  <w:endnote w:type="continuationSeparator" w:id="0">
    <w:p w:rsidR="00097F5C" w:rsidRDefault="00097F5C" w:rsidP="00D8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5C" w:rsidRDefault="00097F5C" w:rsidP="00D85D07">
      <w:pPr>
        <w:spacing w:after="0" w:line="240" w:lineRule="auto"/>
      </w:pPr>
      <w:r>
        <w:separator/>
      </w:r>
    </w:p>
  </w:footnote>
  <w:footnote w:type="continuationSeparator" w:id="0">
    <w:p w:rsidR="00097F5C" w:rsidRDefault="00097F5C" w:rsidP="00D85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043AB"/>
    <w:multiLevelType w:val="hybridMultilevel"/>
    <w:tmpl w:val="8E862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E7E58"/>
    <w:multiLevelType w:val="hybridMultilevel"/>
    <w:tmpl w:val="71985E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93A6F"/>
    <w:multiLevelType w:val="hybridMultilevel"/>
    <w:tmpl w:val="41165B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E187A"/>
    <w:multiLevelType w:val="hybridMultilevel"/>
    <w:tmpl w:val="A2CAC798"/>
    <w:lvl w:ilvl="0" w:tplc="42E22DE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91CCA"/>
    <w:multiLevelType w:val="hybridMultilevel"/>
    <w:tmpl w:val="76729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47791"/>
    <w:multiLevelType w:val="hybridMultilevel"/>
    <w:tmpl w:val="01404832"/>
    <w:lvl w:ilvl="0" w:tplc="B884509C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117E5"/>
    <w:multiLevelType w:val="hybridMultilevel"/>
    <w:tmpl w:val="A0E04272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7290B"/>
    <w:multiLevelType w:val="hybridMultilevel"/>
    <w:tmpl w:val="D94AA426"/>
    <w:lvl w:ilvl="0" w:tplc="7794C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6464C"/>
    <w:multiLevelType w:val="hybridMultilevel"/>
    <w:tmpl w:val="C728BBD6"/>
    <w:lvl w:ilvl="0" w:tplc="AFC0F8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407F7F"/>
    <w:multiLevelType w:val="hybridMultilevel"/>
    <w:tmpl w:val="44D2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142ED"/>
    <w:multiLevelType w:val="hybridMultilevel"/>
    <w:tmpl w:val="43C676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D6F9A"/>
    <w:multiLevelType w:val="hybridMultilevel"/>
    <w:tmpl w:val="807462A2"/>
    <w:lvl w:ilvl="0" w:tplc="112282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863E8"/>
    <w:multiLevelType w:val="hybridMultilevel"/>
    <w:tmpl w:val="7A105128"/>
    <w:lvl w:ilvl="0" w:tplc="A0BCDEA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8566B"/>
    <w:multiLevelType w:val="hybridMultilevel"/>
    <w:tmpl w:val="012AFC1E"/>
    <w:lvl w:ilvl="0" w:tplc="817AA456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D75E96"/>
    <w:multiLevelType w:val="hybridMultilevel"/>
    <w:tmpl w:val="55CCD9DA"/>
    <w:lvl w:ilvl="0" w:tplc="204A0482">
      <w:start w:val="1"/>
      <w:numFmt w:val="decimal"/>
      <w:lvlText w:val="%1."/>
      <w:lvlJc w:val="left"/>
      <w:pPr>
        <w:ind w:left="717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E4D7A"/>
    <w:multiLevelType w:val="hybridMultilevel"/>
    <w:tmpl w:val="D94AA426"/>
    <w:lvl w:ilvl="0" w:tplc="7794C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6"/>
  </w:num>
  <w:num w:numId="5">
    <w:abstractNumId w:val="10"/>
  </w:num>
  <w:num w:numId="6">
    <w:abstractNumId w:val="2"/>
  </w:num>
  <w:num w:numId="7">
    <w:abstractNumId w:val="5"/>
  </w:num>
  <w:num w:numId="8">
    <w:abstractNumId w:val="1"/>
  </w:num>
  <w:num w:numId="9">
    <w:abstractNumId w:val="14"/>
  </w:num>
  <w:num w:numId="10">
    <w:abstractNumId w:val="4"/>
  </w:num>
  <w:num w:numId="11">
    <w:abstractNumId w:val="13"/>
  </w:num>
  <w:num w:numId="12">
    <w:abstractNumId w:val="7"/>
  </w:num>
  <w:num w:numId="13">
    <w:abstractNumId w:val="15"/>
  </w:num>
  <w:num w:numId="14">
    <w:abstractNumId w:val="8"/>
  </w:num>
  <w:num w:numId="15">
    <w:abstractNumId w:val="11"/>
  </w:num>
  <w:num w:numId="1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1A"/>
    <w:rsid w:val="00002568"/>
    <w:rsid w:val="00007170"/>
    <w:rsid w:val="000074EA"/>
    <w:rsid w:val="00012110"/>
    <w:rsid w:val="000159C1"/>
    <w:rsid w:val="00016483"/>
    <w:rsid w:val="00025151"/>
    <w:rsid w:val="000274DF"/>
    <w:rsid w:val="00032C9E"/>
    <w:rsid w:val="000330DC"/>
    <w:rsid w:val="00033D16"/>
    <w:rsid w:val="0003567D"/>
    <w:rsid w:val="0004069D"/>
    <w:rsid w:val="00042077"/>
    <w:rsid w:val="00043BE0"/>
    <w:rsid w:val="0004781E"/>
    <w:rsid w:val="00055E19"/>
    <w:rsid w:val="00060D95"/>
    <w:rsid w:val="00060EDC"/>
    <w:rsid w:val="0006368E"/>
    <w:rsid w:val="00066FBB"/>
    <w:rsid w:val="0006797C"/>
    <w:rsid w:val="00071F67"/>
    <w:rsid w:val="00073E44"/>
    <w:rsid w:val="00077284"/>
    <w:rsid w:val="0008138E"/>
    <w:rsid w:val="0009025B"/>
    <w:rsid w:val="00095B5B"/>
    <w:rsid w:val="0009683C"/>
    <w:rsid w:val="00097F5C"/>
    <w:rsid w:val="000A1814"/>
    <w:rsid w:val="000A18EE"/>
    <w:rsid w:val="000A3675"/>
    <w:rsid w:val="000A7EFC"/>
    <w:rsid w:val="000B05AF"/>
    <w:rsid w:val="000B35F3"/>
    <w:rsid w:val="000B6515"/>
    <w:rsid w:val="000C07CA"/>
    <w:rsid w:val="000C2BCA"/>
    <w:rsid w:val="000C4162"/>
    <w:rsid w:val="000C6EEF"/>
    <w:rsid w:val="000C7557"/>
    <w:rsid w:val="000D168C"/>
    <w:rsid w:val="000D2F92"/>
    <w:rsid w:val="000D34B3"/>
    <w:rsid w:val="000E00EE"/>
    <w:rsid w:val="000E231D"/>
    <w:rsid w:val="000E2412"/>
    <w:rsid w:val="000E4EE3"/>
    <w:rsid w:val="000E6FA8"/>
    <w:rsid w:val="000F1030"/>
    <w:rsid w:val="000F13D3"/>
    <w:rsid w:val="000F16EF"/>
    <w:rsid w:val="000F1EBF"/>
    <w:rsid w:val="000F3A8F"/>
    <w:rsid w:val="000F4EB0"/>
    <w:rsid w:val="001044D0"/>
    <w:rsid w:val="00120757"/>
    <w:rsid w:val="00121846"/>
    <w:rsid w:val="0012466E"/>
    <w:rsid w:val="00130495"/>
    <w:rsid w:val="001363D2"/>
    <w:rsid w:val="001402B0"/>
    <w:rsid w:val="001406C2"/>
    <w:rsid w:val="00144D7F"/>
    <w:rsid w:val="00156E2D"/>
    <w:rsid w:val="00160153"/>
    <w:rsid w:val="00161863"/>
    <w:rsid w:val="00162B4C"/>
    <w:rsid w:val="00164912"/>
    <w:rsid w:val="001659C2"/>
    <w:rsid w:val="00166CF5"/>
    <w:rsid w:val="00167B66"/>
    <w:rsid w:val="00172E4B"/>
    <w:rsid w:val="00177597"/>
    <w:rsid w:val="001817ED"/>
    <w:rsid w:val="001829DD"/>
    <w:rsid w:val="001845E9"/>
    <w:rsid w:val="00186384"/>
    <w:rsid w:val="0018639F"/>
    <w:rsid w:val="00186B65"/>
    <w:rsid w:val="00190AC8"/>
    <w:rsid w:val="001922AA"/>
    <w:rsid w:val="001925BB"/>
    <w:rsid w:val="00192FB8"/>
    <w:rsid w:val="00194B5A"/>
    <w:rsid w:val="001A10B7"/>
    <w:rsid w:val="001A2242"/>
    <w:rsid w:val="001A51B9"/>
    <w:rsid w:val="001B34B9"/>
    <w:rsid w:val="001B4266"/>
    <w:rsid w:val="001B43ED"/>
    <w:rsid w:val="001B457C"/>
    <w:rsid w:val="001B67DD"/>
    <w:rsid w:val="001B73DF"/>
    <w:rsid w:val="001C0424"/>
    <w:rsid w:val="001D4B4F"/>
    <w:rsid w:val="001D5FFE"/>
    <w:rsid w:val="001D7BCB"/>
    <w:rsid w:val="001D7FBE"/>
    <w:rsid w:val="001E354E"/>
    <w:rsid w:val="001E50FD"/>
    <w:rsid w:val="001E75A1"/>
    <w:rsid w:val="001F0144"/>
    <w:rsid w:val="001F31CD"/>
    <w:rsid w:val="001F4CB9"/>
    <w:rsid w:val="001F645B"/>
    <w:rsid w:val="001F7533"/>
    <w:rsid w:val="00204E04"/>
    <w:rsid w:val="00206A6B"/>
    <w:rsid w:val="00210E93"/>
    <w:rsid w:val="00220495"/>
    <w:rsid w:val="002243EA"/>
    <w:rsid w:val="00226719"/>
    <w:rsid w:val="00227757"/>
    <w:rsid w:val="00230FA1"/>
    <w:rsid w:val="0023164A"/>
    <w:rsid w:val="00232DF8"/>
    <w:rsid w:val="00237C8D"/>
    <w:rsid w:val="00240827"/>
    <w:rsid w:val="00244AD5"/>
    <w:rsid w:val="002452BC"/>
    <w:rsid w:val="0024640E"/>
    <w:rsid w:val="002509C0"/>
    <w:rsid w:val="00250AF4"/>
    <w:rsid w:val="00250F28"/>
    <w:rsid w:val="00250F4A"/>
    <w:rsid w:val="00263795"/>
    <w:rsid w:val="002645D8"/>
    <w:rsid w:val="00264741"/>
    <w:rsid w:val="002708B3"/>
    <w:rsid w:val="002717BA"/>
    <w:rsid w:val="00271B2C"/>
    <w:rsid w:val="0027450B"/>
    <w:rsid w:val="00274E3F"/>
    <w:rsid w:val="00275CCA"/>
    <w:rsid w:val="0027625B"/>
    <w:rsid w:val="002762F5"/>
    <w:rsid w:val="00280E63"/>
    <w:rsid w:val="00285B65"/>
    <w:rsid w:val="0028613D"/>
    <w:rsid w:val="0028776F"/>
    <w:rsid w:val="00287A59"/>
    <w:rsid w:val="0029116D"/>
    <w:rsid w:val="00294B9B"/>
    <w:rsid w:val="00295ED5"/>
    <w:rsid w:val="002A15F5"/>
    <w:rsid w:val="002B062D"/>
    <w:rsid w:val="002B3D57"/>
    <w:rsid w:val="002B760E"/>
    <w:rsid w:val="002C0A6C"/>
    <w:rsid w:val="002C3C0D"/>
    <w:rsid w:val="002C3EBE"/>
    <w:rsid w:val="002C40EA"/>
    <w:rsid w:val="002C4792"/>
    <w:rsid w:val="002C6AD5"/>
    <w:rsid w:val="002C728D"/>
    <w:rsid w:val="002D066A"/>
    <w:rsid w:val="002D2950"/>
    <w:rsid w:val="002D2DCE"/>
    <w:rsid w:val="002D341D"/>
    <w:rsid w:val="002D41EF"/>
    <w:rsid w:val="002D7F7D"/>
    <w:rsid w:val="002E1704"/>
    <w:rsid w:val="002E1E17"/>
    <w:rsid w:val="002E2B21"/>
    <w:rsid w:val="002E3AE8"/>
    <w:rsid w:val="002E3D63"/>
    <w:rsid w:val="002E455E"/>
    <w:rsid w:val="002E4580"/>
    <w:rsid w:val="002E7753"/>
    <w:rsid w:val="002E7BD5"/>
    <w:rsid w:val="002F0DBE"/>
    <w:rsid w:val="002F3622"/>
    <w:rsid w:val="002F3D8F"/>
    <w:rsid w:val="002F5EEB"/>
    <w:rsid w:val="003016D3"/>
    <w:rsid w:val="00310686"/>
    <w:rsid w:val="003132AA"/>
    <w:rsid w:val="003160B3"/>
    <w:rsid w:val="00317703"/>
    <w:rsid w:val="00321D86"/>
    <w:rsid w:val="00321FBB"/>
    <w:rsid w:val="00322FAD"/>
    <w:rsid w:val="0032364E"/>
    <w:rsid w:val="0032415A"/>
    <w:rsid w:val="0032511C"/>
    <w:rsid w:val="003427D8"/>
    <w:rsid w:val="00342915"/>
    <w:rsid w:val="00342FF6"/>
    <w:rsid w:val="0035117D"/>
    <w:rsid w:val="00353730"/>
    <w:rsid w:val="00360EF0"/>
    <w:rsid w:val="0036440C"/>
    <w:rsid w:val="00384529"/>
    <w:rsid w:val="00391397"/>
    <w:rsid w:val="00393835"/>
    <w:rsid w:val="00396CEC"/>
    <w:rsid w:val="00397BB7"/>
    <w:rsid w:val="003A3CEB"/>
    <w:rsid w:val="003A67BF"/>
    <w:rsid w:val="003B1ADD"/>
    <w:rsid w:val="003B329A"/>
    <w:rsid w:val="003B43FD"/>
    <w:rsid w:val="003C2776"/>
    <w:rsid w:val="003C346A"/>
    <w:rsid w:val="003D1172"/>
    <w:rsid w:val="003D19BF"/>
    <w:rsid w:val="003D3628"/>
    <w:rsid w:val="003F1A3F"/>
    <w:rsid w:val="003F3090"/>
    <w:rsid w:val="003F481A"/>
    <w:rsid w:val="003F5C09"/>
    <w:rsid w:val="00401170"/>
    <w:rsid w:val="00404C0D"/>
    <w:rsid w:val="004071E6"/>
    <w:rsid w:val="004149FB"/>
    <w:rsid w:val="00415A97"/>
    <w:rsid w:val="004161D4"/>
    <w:rsid w:val="00425303"/>
    <w:rsid w:val="004256D9"/>
    <w:rsid w:val="00431690"/>
    <w:rsid w:val="00433845"/>
    <w:rsid w:val="00434F82"/>
    <w:rsid w:val="0043521C"/>
    <w:rsid w:val="0043549D"/>
    <w:rsid w:val="00436724"/>
    <w:rsid w:val="00440D53"/>
    <w:rsid w:val="004433FC"/>
    <w:rsid w:val="00446663"/>
    <w:rsid w:val="00446F70"/>
    <w:rsid w:val="00450D77"/>
    <w:rsid w:val="00450F0D"/>
    <w:rsid w:val="00451535"/>
    <w:rsid w:val="00452695"/>
    <w:rsid w:val="004569FD"/>
    <w:rsid w:val="00460A55"/>
    <w:rsid w:val="004618A8"/>
    <w:rsid w:val="00462961"/>
    <w:rsid w:val="0046472B"/>
    <w:rsid w:val="004661D5"/>
    <w:rsid w:val="00466E34"/>
    <w:rsid w:val="00467DFC"/>
    <w:rsid w:val="0047326D"/>
    <w:rsid w:val="004738C5"/>
    <w:rsid w:val="00480327"/>
    <w:rsid w:val="0048161E"/>
    <w:rsid w:val="00486969"/>
    <w:rsid w:val="004923DD"/>
    <w:rsid w:val="00492E37"/>
    <w:rsid w:val="00494414"/>
    <w:rsid w:val="004A05C2"/>
    <w:rsid w:val="004A07B0"/>
    <w:rsid w:val="004A24ED"/>
    <w:rsid w:val="004A354B"/>
    <w:rsid w:val="004A6030"/>
    <w:rsid w:val="004A7F6C"/>
    <w:rsid w:val="004B4D31"/>
    <w:rsid w:val="004C03ED"/>
    <w:rsid w:val="004C0DE4"/>
    <w:rsid w:val="004C2241"/>
    <w:rsid w:val="004C7234"/>
    <w:rsid w:val="004D13EA"/>
    <w:rsid w:val="004D4076"/>
    <w:rsid w:val="004D4372"/>
    <w:rsid w:val="004D46A4"/>
    <w:rsid w:val="004D5C01"/>
    <w:rsid w:val="004D74E1"/>
    <w:rsid w:val="004E2D1F"/>
    <w:rsid w:val="004E3ECE"/>
    <w:rsid w:val="004E7C8F"/>
    <w:rsid w:val="004F39A2"/>
    <w:rsid w:val="004F4318"/>
    <w:rsid w:val="004F6A98"/>
    <w:rsid w:val="0050313B"/>
    <w:rsid w:val="00507A49"/>
    <w:rsid w:val="00507BDD"/>
    <w:rsid w:val="00507BF8"/>
    <w:rsid w:val="00512F25"/>
    <w:rsid w:val="005222E7"/>
    <w:rsid w:val="00526817"/>
    <w:rsid w:val="005311AF"/>
    <w:rsid w:val="00532E1F"/>
    <w:rsid w:val="00534AC9"/>
    <w:rsid w:val="005403AF"/>
    <w:rsid w:val="0054210D"/>
    <w:rsid w:val="00550C15"/>
    <w:rsid w:val="00550F9D"/>
    <w:rsid w:val="00552233"/>
    <w:rsid w:val="005534D5"/>
    <w:rsid w:val="005534DE"/>
    <w:rsid w:val="00553B73"/>
    <w:rsid w:val="00555D71"/>
    <w:rsid w:val="005631E9"/>
    <w:rsid w:val="0056568F"/>
    <w:rsid w:val="00566D39"/>
    <w:rsid w:val="005709A5"/>
    <w:rsid w:val="00571395"/>
    <w:rsid w:val="005732AB"/>
    <w:rsid w:val="00573D61"/>
    <w:rsid w:val="005744FB"/>
    <w:rsid w:val="005748FA"/>
    <w:rsid w:val="00575941"/>
    <w:rsid w:val="0057602D"/>
    <w:rsid w:val="0057653E"/>
    <w:rsid w:val="005768B7"/>
    <w:rsid w:val="0058248E"/>
    <w:rsid w:val="00584A07"/>
    <w:rsid w:val="00585628"/>
    <w:rsid w:val="00586684"/>
    <w:rsid w:val="00591E6C"/>
    <w:rsid w:val="005930EC"/>
    <w:rsid w:val="00593539"/>
    <w:rsid w:val="00593C91"/>
    <w:rsid w:val="005A457A"/>
    <w:rsid w:val="005A501F"/>
    <w:rsid w:val="005A50AC"/>
    <w:rsid w:val="005A7D8C"/>
    <w:rsid w:val="005B182B"/>
    <w:rsid w:val="005B7ABA"/>
    <w:rsid w:val="005C39E7"/>
    <w:rsid w:val="005C51D4"/>
    <w:rsid w:val="005D03D2"/>
    <w:rsid w:val="005D137C"/>
    <w:rsid w:val="005D4568"/>
    <w:rsid w:val="005E2F76"/>
    <w:rsid w:val="005E6DFB"/>
    <w:rsid w:val="005E730D"/>
    <w:rsid w:val="005F3F79"/>
    <w:rsid w:val="005F661B"/>
    <w:rsid w:val="00600F85"/>
    <w:rsid w:val="006040F5"/>
    <w:rsid w:val="00604CE8"/>
    <w:rsid w:val="006052E0"/>
    <w:rsid w:val="006053B7"/>
    <w:rsid w:val="006075A1"/>
    <w:rsid w:val="00607B3C"/>
    <w:rsid w:val="00614B55"/>
    <w:rsid w:val="00616122"/>
    <w:rsid w:val="00616F83"/>
    <w:rsid w:val="00620513"/>
    <w:rsid w:val="00620992"/>
    <w:rsid w:val="0062223B"/>
    <w:rsid w:val="0062227C"/>
    <w:rsid w:val="006224EC"/>
    <w:rsid w:val="0062489C"/>
    <w:rsid w:val="00625018"/>
    <w:rsid w:val="00627AA1"/>
    <w:rsid w:val="006355C6"/>
    <w:rsid w:val="006406E7"/>
    <w:rsid w:val="00641ABD"/>
    <w:rsid w:val="00641FCE"/>
    <w:rsid w:val="00642304"/>
    <w:rsid w:val="00642CFD"/>
    <w:rsid w:val="00647FAB"/>
    <w:rsid w:val="00660241"/>
    <w:rsid w:val="00667B36"/>
    <w:rsid w:val="00670BB3"/>
    <w:rsid w:val="00672C74"/>
    <w:rsid w:val="00677A4D"/>
    <w:rsid w:val="00680056"/>
    <w:rsid w:val="0068043E"/>
    <w:rsid w:val="00680FD8"/>
    <w:rsid w:val="006813D7"/>
    <w:rsid w:val="006819CC"/>
    <w:rsid w:val="00681F4D"/>
    <w:rsid w:val="00682C44"/>
    <w:rsid w:val="00682F99"/>
    <w:rsid w:val="00683C3B"/>
    <w:rsid w:val="00684768"/>
    <w:rsid w:val="00690B49"/>
    <w:rsid w:val="0069119D"/>
    <w:rsid w:val="006921E0"/>
    <w:rsid w:val="006934CE"/>
    <w:rsid w:val="00693CF2"/>
    <w:rsid w:val="00694D9F"/>
    <w:rsid w:val="00695E1E"/>
    <w:rsid w:val="00695EEE"/>
    <w:rsid w:val="006A5453"/>
    <w:rsid w:val="006B37E3"/>
    <w:rsid w:val="006C472D"/>
    <w:rsid w:val="006C478D"/>
    <w:rsid w:val="006C4BD3"/>
    <w:rsid w:val="006C64AC"/>
    <w:rsid w:val="006D4DA5"/>
    <w:rsid w:val="006E0791"/>
    <w:rsid w:val="006E39F3"/>
    <w:rsid w:val="006E6309"/>
    <w:rsid w:val="006E6EB2"/>
    <w:rsid w:val="006F2715"/>
    <w:rsid w:val="006F64EB"/>
    <w:rsid w:val="00705984"/>
    <w:rsid w:val="00706553"/>
    <w:rsid w:val="00711060"/>
    <w:rsid w:val="00711E39"/>
    <w:rsid w:val="007148AD"/>
    <w:rsid w:val="007155C5"/>
    <w:rsid w:val="007166E1"/>
    <w:rsid w:val="00716F2A"/>
    <w:rsid w:val="00717D6C"/>
    <w:rsid w:val="00721214"/>
    <w:rsid w:val="0072217D"/>
    <w:rsid w:val="00722E9D"/>
    <w:rsid w:val="00723AA1"/>
    <w:rsid w:val="007311AB"/>
    <w:rsid w:val="00741E56"/>
    <w:rsid w:val="0074347B"/>
    <w:rsid w:val="00743CBD"/>
    <w:rsid w:val="00744954"/>
    <w:rsid w:val="00750FE9"/>
    <w:rsid w:val="00755E3E"/>
    <w:rsid w:val="0076216F"/>
    <w:rsid w:val="00763FB0"/>
    <w:rsid w:val="00764026"/>
    <w:rsid w:val="0076717C"/>
    <w:rsid w:val="007676A5"/>
    <w:rsid w:val="007733AA"/>
    <w:rsid w:val="00774B2A"/>
    <w:rsid w:val="00776CF9"/>
    <w:rsid w:val="007774F2"/>
    <w:rsid w:val="00780EDD"/>
    <w:rsid w:val="007824BE"/>
    <w:rsid w:val="00782666"/>
    <w:rsid w:val="00783624"/>
    <w:rsid w:val="007917A5"/>
    <w:rsid w:val="00794B4A"/>
    <w:rsid w:val="007953F9"/>
    <w:rsid w:val="00795634"/>
    <w:rsid w:val="00797D26"/>
    <w:rsid w:val="007A3D77"/>
    <w:rsid w:val="007B42B0"/>
    <w:rsid w:val="007C0ED4"/>
    <w:rsid w:val="007C4127"/>
    <w:rsid w:val="007C563F"/>
    <w:rsid w:val="007C5E77"/>
    <w:rsid w:val="007D0C7B"/>
    <w:rsid w:val="007D2667"/>
    <w:rsid w:val="007D6EE4"/>
    <w:rsid w:val="007E1BDC"/>
    <w:rsid w:val="007E4304"/>
    <w:rsid w:val="007E4C13"/>
    <w:rsid w:val="007E5FC7"/>
    <w:rsid w:val="007F0313"/>
    <w:rsid w:val="007F225D"/>
    <w:rsid w:val="00802125"/>
    <w:rsid w:val="00805357"/>
    <w:rsid w:val="00807093"/>
    <w:rsid w:val="00807C4E"/>
    <w:rsid w:val="00810AA4"/>
    <w:rsid w:val="00812C6E"/>
    <w:rsid w:val="008203C8"/>
    <w:rsid w:val="00821FA9"/>
    <w:rsid w:val="008229EF"/>
    <w:rsid w:val="0082443D"/>
    <w:rsid w:val="00834512"/>
    <w:rsid w:val="00835F82"/>
    <w:rsid w:val="00843FFD"/>
    <w:rsid w:val="00846382"/>
    <w:rsid w:val="00847674"/>
    <w:rsid w:val="00847BED"/>
    <w:rsid w:val="00850F6E"/>
    <w:rsid w:val="00851C89"/>
    <w:rsid w:val="00856AED"/>
    <w:rsid w:val="0086001A"/>
    <w:rsid w:val="00861942"/>
    <w:rsid w:val="00862EFC"/>
    <w:rsid w:val="00863044"/>
    <w:rsid w:val="008644E8"/>
    <w:rsid w:val="008667EC"/>
    <w:rsid w:val="008674A4"/>
    <w:rsid w:val="00867CEA"/>
    <w:rsid w:val="008708E3"/>
    <w:rsid w:val="0087277F"/>
    <w:rsid w:val="0089384B"/>
    <w:rsid w:val="00893C00"/>
    <w:rsid w:val="0089693A"/>
    <w:rsid w:val="008A0B5F"/>
    <w:rsid w:val="008A309D"/>
    <w:rsid w:val="008A418F"/>
    <w:rsid w:val="008B112C"/>
    <w:rsid w:val="008B2006"/>
    <w:rsid w:val="008B2781"/>
    <w:rsid w:val="008B44BF"/>
    <w:rsid w:val="008B47DA"/>
    <w:rsid w:val="008B4ABD"/>
    <w:rsid w:val="008B7AC9"/>
    <w:rsid w:val="008C6DAE"/>
    <w:rsid w:val="008C6DE3"/>
    <w:rsid w:val="008D0AF9"/>
    <w:rsid w:val="008D523C"/>
    <w:rsid w:val="008D5B62"/>
    <w:rsid w:val="008E0105"/>
    <w:rsid w:val="008E13B3"/>
    <w:rsid w:val="008E4ED2"/>
    <w:rsid w:val="008E5B73"/>
    <w:rsid w:val="008F1357"/>
    <w:rsid w:val="008F2831"/>
    <w:rsid w:val="0090059C"/>
    <w:rsid w:val="009037CC"/>
    <w:rsid w:val="009059B5"/>
    <w:rsid w:val="00912A52"/>
    <w:rsid w:val="009130D2"/>
    <w:rsid w:val="00913D02"/>
    <w:rsid w:val="00916325"/>
    <w:rsid w:val="00917B62"/>
    <w:rsid w:val="00921638"/>
    <w:rsid w:val="00925EB7"/>
    <w:rsid w:val="009275C1"/>
    <w:rsid w:val="009353FD"/>
    <w:rsid w:val="00936131"/>
    <w:rsid w:val="009423B4"/>
    <w:rsid w:val="00942C29"/>
    <w:rsid w:val="00943EE4"/>
    <w:rsid w:val="00950A20"/>
    <w:rsid w:val="00950CC4"/>
    <w:rsid w:val="009512DF"/>
    <w:rsid w:val="009531A8"/>
    <w:rsid w:val="00957673"/>
    <w:rsid w:val="00957DC3"/>
    <w:rsid w:val="00964755"/>
    <w:rsid w:val="009707BB"/>
    <w:rsid w:val="00974AE3"/>
    <w:rsid w:val="00975290"/>
    <w:rsid w:val="00975B7E"/>
    <w:rsid w:val="00975FBC"/>
    <w:rsid w:val="00976EAA"/>
    <w:rsid w:val="0098090B"/>
    <w:rsid w:val="009817BB"/>
    <w:rsid w:val="00986F05"/>
    <w:rsid w:val="00991A90"/>
    <w:rsid w:val="0099254F"/>
    <w:rsid w:val="0099303B"/>
    <w:rsid w:val="009A4FAC"/>
    <w:rsid w:val="009A5EDC"/>
    <w:rsid w:val="009A75FE"/>
    <w:rsid w:val="009B0A5F"/>
    <w:rsid w:val="009B0BD3"/>
    <w:rsid w:val="009B2B24"/>
    <w:rsid w:val="009B7A2B"/>
    <w:rsid w:val="009C0CDD"/>
    <w:rsid w:val="009C4208"/>
    <w:rsid w:val="009C57E3"/>
    <w:rsid w:val="009C5C21"/>
    <w:rsid w:val="009C72AA"/>
    <w:rsid w:val="009D2D6C"/>
    <w:rsid w:val="009E5451"/>
    <w:rsid w:val="009E6701"/>
    <w:rsid w:val="009E6993"/>
    <w:rsid w:val="009F0202"/>
    <w:rsid w:val="009F04B4"/>
    <w:rsid w:val="009F110B"/>
    <w:rsid w:val="009F2164"/>
    <w:rsid w:val="009F43EE"/>
    <w:rsid w:val="009F4CC1"/>
    <w:rsid w:val="00A07EA9"/>
    <w:rsid w:val="00A110BF"/>
    <w:rsid w:val="00A133C1"/>
    <w:rsid w:val="00A14F0C"/>
    <w:rsid w:val="00A17D3D"/>
    <w:rsid w:val="00A22084"/>
    <w:rsid w:val="00A2602D"/>
    <w:rsid w:val="00A30F56"/>
    <w:rsid w:val="00A33ECE"/>
    <w:rsid w:val="00A402F7"/>
    <w:rsid w:val="00A466BF"/>
    <w:rsid w:val="00A50442"/>
    <w:rsid w:val="00A504DF"/>
    <w:rsid w:val="00A53980"/>
    <w:rsid w:val="00A62643"/>
    <w:rsid w:val="00A64965"/>
    <w:rsid w:val="00A66943"/>
    <w:rsid w:val="00A70854"/>
    <w:rsid w:val="00A718A3"/>
    <w:rsid w:val="00A800B5"/>
    <w:rsid w:val="00A854AA"/>
    <w:rsid w:val="00A91905"/>
    <w:rsid w:val="00A93FC1"/>
    <w:rsid w:val="00A95383"/>
    <w:rsid w:val="00A967C6"/>
    <w:rsid w:val="00A9735E"/>
    <w:rsid w:val="00AA77EB"/>
    <w:rsid w:val="00AA79C7"/>
    <w:rsid w:val="00AB40DA"/>
    <w:rsid w:val="00AB7E21"/>
    <w:rsid w:val="00AB7FCF"/>
    <w:rsid w:val="00AC18EA"/>
    <w:rsid w:val="00AC298B"/>
    <w:rsid w:val="00AC2A49"/>
    <w:rsid w:val="00AC2C41"/>
    <w:rsid w:val="00AC329A"/>
    <w:rsid w:val="00AC5416"/>
    <w:rsid w:val="00AC68D4"/>
    <w:rsid w:val="00AD0281"/>
    <w:rsid w:val="00AD0682"/>
    <w:rsid w:val="00AD27E5"/>
    <w:rsid w:val="00AE07F2"/>
    <w:rsid w:val="00AE29D2"/>
    <w:rsid w:val="00AE3DB4"/>
    <w:rsid w:val="00AE7E18"/>
    <w:rsid w:val="00AF0BF9"/>
    <w:rsid w:val="00AF1081"/>
    <w:rsid w:val="00AF46CD"/>
    <w:rsid w:val="00AF48EB"/>
    <w:rsid w:val="00AF662B"/>
    <w:rsid w:val="00AF6BD3"/>
    <w:rsid w:val="00B02520"/>
    <w:rsid w:val="00B033C4"/>
    <w:rsid w:val="00B05C1E"/>
    <w:rsid w:val="00B14048"/>
    <w:rsid w:val="00B15441"/>
    <w:rsid w:val="00B1689C"/>
    <w:rsid w:val="00B211AF"/>
    <w:rsid w:val="00B2371B"/>
    <w:rsid w:val="00B2382E"/>
    <w:rsid w:val="00B302B3"/>
    <w:rsid w:val="00B30371"/>
    <w:rsid w:val="00B308BC"/>
    <w:rsid w:val="00B33AF1"/>
    <w:rsid w:val="00B34022"/>
    <w:rsid w:val="00B354D2"/>
    <w:rsid w:val="00B3577D"/>
    <w:rsid w:val="00B3695C"/>
    <w:rsid w:val="00B42FE7"/>
    <w:rsid w:val="00B50344"/>
    <w:rsid w:val="00B53419"/>
    <w:rsid w:val="00B579B8"/>
    <w:rsid w:val="00B57E09"/>
    <w:rsid w:val="00B6007C"/>
    <w:rsid w:val="00B668E6"/>
    <w:rsid w:val="00B6727C"/>
    <w:rsid w:val="00B71543"/>
    <w:rsid w:val="00B71B5E"/>
    <w:rsid w:val="00B738D1"/>
    <w:rsid w:val="00B7487B"/>
    <w:rsid w:val="00B74FB7"/>
    <w:rsid w:val="00B75F04"/>
    <w:rsid w:val="00B8008E"/>
    <w:rsid w:val="00B80425"/>
    <w:rsid w:val="00B8193A"/>
    <w:rsid w:val="00B868E5"/>
    <w:rsid w:val="00B87EC0"/>
    <w:rsid w:val="00B912C6"/>
    <w:rsid w:val="00B92372"/>
    <w:rsid w:val="00B93539"/>
    <w:rsid w:val="00B940DB"/>
    <w:rsid w:val="00B94FA8"/>
    <w:rsid w:val="00BA11A7"/>
    <w:rsid w:val="00BA22A5"/>
    <w:rsid w:val="00BA24F4"/>
    <w:rsid w:val="00BA2911"/>
    <w:rsid w:val="00BA64AE"/>
    <w:rsid w:val="00BB1214"/>
    <w:rsid w:val="00BB2EAC"/>
    <w:rsid w:val="00BB7270"/>
    <w:rsid w:val="00BC35A9"/>
    <w:rsid w:val="00BC6F46"/>
    <w:rsid w:val="00BC7ED7"/>
    <w:rsid w:val="00BD279A"/>
    <w:rsid w:val="00BD32BA"/>
    <w:rsid w:val="00BD3A2B"/>
    <w:rsid w:val="00BE5C33"/>
    <w:rsid w:val="00BE5FFB"/>
    <w:rsid w:val="00BF0236"/>
    <w:rsid w:val="00BF1DA7"/>
    <w:rsid w:val="00BF41ED"/>
    <w:rsid w:val="00BF4E5D"/>
    <w:rsid w:val="00BF6E23"/>
    <w:rsid w:val="00C023AF"/>
    <w:rsid w:val="00C0306F"/>
    <w:rsid w:val="00C03335"/>
    <w:rsid w:val="00C0580C"/>
    <w:rsid w:val="00C10AA7"/>
    <w:rsid w:val="00C10CF7"/>
    <w:rsid w:val="00C14A0B"/>
    <w:rsid w:val="00C1517A"/>
    <w:rsid w:val="00C21065"/>
    <w:rsid w:val="00C30EC5"/>
    <w:rsid w:val="00C334CD"/>
    <w:rsid w:val="00C34495"/>
    <w:rsid w:val="00C34B5C"/>
    <w:rsid w:val="00C352EC"/>
    <w:rsid w:val="00C40BD3"/>
    <w:rsid w:val="00C429B7"/>
    <w:rsid w:val="00C50784"/>
    <w:rsid w:val="00C51F2A"/>
    <w:rsid w:val="00C52C2B"/>
    <w:rsid w:val="00C54C33"/>
    <w:rsid w:val="00C55CBB"/>
    <w:rsid w:val="00C57966"/>
    <w:rsid w:val="00C610EF"/>
    <w:rsid w:val="00C621DF"/>
    <w:rsid w:val="00C63E7C"/>
    <w:rsid w:val="00C64A48"/>
    <w:rsid w:val="00C660B7"/>
    <w:rsid w:val="00C70290"/>
    <w:rsid w:val="00C73C7F"/>
    <w:rsid w:val="00C7412A"/>
    <w:rsid w:val="00C8061C"/>
    <w:rsid w:val="00C829AA"/>
    <w:rsid w:val="00C86CB6"/>
    <w:rsid w:val="00C90A39"/>
    <w:rsid w:val="00C90BE4"/>
    <w:rsid w:val="00C97C2C"/>
    <w:rsid w:val="00CA0F1F"/>
    <w:rsid w:val="00CA1824"/>
    <w:rsid w:val="00CA5BE8"/>
    <w:rsid w:val="00CB499C"/>
    <w:rsid w:val="00CB4A74"/>
    <w:rsid w:val="00CC2150"/>
    <w:rsid w:val="00CC68EF"/>
    <w:rsid w:val="00CC71ED"/>
    <w:rsid w:val="00CD5986"/>
    <w:rsid w:val="00CD7867"/>
    <w:rsid w:val="00CE002A"/>
    <w:rsid w:val="00CE24C8"/>
    <w:rsid w:val="00CE5EB5"/>
    <w:rsid w:val="00CE73FE"/>
    <w:rsid w:val="00CF0C45"/>
    <w:rsid w:val="00CF1BA8"/>
    <w:rsid w:val="00CF26F1"/>
    <w:rsid w:val="00CF4779"/>
    <w:rsid w:val="00CF539C"/>
    <w:rsid w:val="00CF7364"/>
    <w:rsid w:val="00CF77A4"/>
    <w:rsid w:val="00CF7F0C"/>
    <w:rsid w:val="00D01D4D"/>
    <w:rsid w:val="00D029F3"/>
    <w:rsid w:val="00D03533"/>
    <w:rsid w:val="00D121FD"/>
    <w:rsid w:val="00D13DCC"/>
    <w:rsid w:val="00D13EE4"/>
    <w:rsid w:val="00D170C1"/>
    <w:rsid w:val="00D2209B"/>
    <w:rsid w:val="00D267B3"/>
    <w:rsid w:val="00D31BF1"/>
    <w:rsid w:val="00D34E29"/>
    <w:rsid w:val="00D366C9"/>
    <w:rsid w:val="00D40CB6"/>
    <w:rsid w:val="00D426D9"/>
    <w:rsid w:val="00D4396A"/>
    <w:rsid w:val="00D453AB"/>
    <w:rsid w:val="00D45FDE"/>
    <w:rsid w:val="00D50828"/>
    <w:rsid w:val="00D5279C"/>
    <w:rsid w:val="00D60BBC"/>
    <w:rsid w:val="00D616E1"/>
    <w:rsid w:val="00D64327"/>
    <w:rsid w:val="00D71E02"/>
    <w:rsid w:val="00D72278"/>
    <w:rsid w:val="00D73B09"/>
    <w:rsid w:val="00D7436D"/>
    <w:rsid w:val="00D74445"/>
    <w:rsid w:val="00D821DA"/>
    <w:rsid w:val="00D82FCC"/>
    <w:rsid w:val="00D84438"/>
    <w:rsid w:val="00D85D07"/>
    <w:rsid w:val="00D9329B"/>
    <w:rsid w:val="00D9642F"/>
    <w:rsid w:val="00DA3789"/>
    <w:rsid w:val="00DA6973"/>
    <w:rsid w:val="00DA7215"/>
    <w:rsid w:val="00DA76E3"/>
    <w:rsid w:val="00DB003B"/>
    <w:rsid w:val="00DB1D1E"/>
    <w:rsid w:val="00DB3B33"/>
    <w:rsid w:val="00DB5F9B"/>
    <w:rsid w:val="00DB65E7"/>
    <w:rsid w:val="00DB6C54"/>
    <w:rsid w:val="00DB7BB2"/>
    <w:rsid w:val="00DC0B7D"/>
    <w:rsid w:val="00DC1138"/>
    <w:rsid w:val="00DC3F64"/>
    <w:rsid w:val="00DD2A29"/>
    <w:rsid w:val="00DD2E52"/>
    <w:rsid w:val="00DD5A7E"/>
    <w:rsid w:val="00DD6255"/>
    <w:rsid w:val="00DE1DB2"/>
    <w:rsid w:val="00DE46EE"/>
    <w:rsid w:val="00DE51B1"/>
    <w:rsid w:val="00DE54C2"/>
    <w:rsid w:val="00DF04DB"/>
    <w:rsid w:val="00DF1163"/>
    <w:rsid w:val="00DF1431"/>
    <w:rsid w:val="00DF1715"/>
    <w:rsid w:val="00DF246B"/>
    <w:rsid w:val="00DF25F4"/>
    <w:rsid w:val="00DF69AF"/>
    <w:rsid w:val="00DF701C"/>
    <w:rsid w:val="00DF7E9A"/>
    <w:rsid w:val="00E01010"/>
    <w:rsid w:val="00E030C1"/>
    <w:rsid w:val="00E03221"/>
    <w:rsid w:val="00E1102E"/>
    <w:rsid w:val="00E11126"/>
    <w:rsid w:val="00E12D70"/>
    <w:rsid w:val="00E15C7B"/>
    <w:rsid w:val="00E22992"/>
    <w:rsid w:val="00E26948"/>
    <w:rsid w:val="00E30262"/>
    <w:rsid w:val="00E306F1"/>
    <w:rsid w:val="00E32B62"/>
    <w:rsid w:val="00E36679"/>
    <w:rsid w:val="00E36F2E"/>
    <w:rsid w:val="00E46911"/>
    <w:rsid w:val="00E504D2"/>
    <w:rsid w:val="00E5237D"/>
    <w:rsid w:val="00E61930"/>
    <w:rsid w:val="00E63856"/>
    <w:rsid w:val="00E70174"/>
    <w:rsid w:val="00E80CC0"/>
    <w:rsid w:val="00E81CA1"/>
    <w:rsid w:val="00E825C1"/>
    <w:rsid w:val="00E86277"/>
    <w:rsid w:val="00E87A43"/>
    <w:rsid w:val="00E94207"/>
    <w:rsid w:val="00E95167"/>
    <w:rsid w:val="00EA024E"/>
    <w:rsid w:val="00EA2CA5"/>
    <w:rsid w:val="00EA3875"/>
    <w:rsid w:val="00EB0A0D"/>
    <w:rsid w:val="00EB0BDD"/>
    <w:rsid w:val="00EB528C"/>
    <w:rsid w:val="00EB790C"/>
    <w:rsid w:val="00EC1F61"/>
    <w:rsid w:val="00ED08D3"/>
    <w:rsid w:val="00ED2C14"/>
    <w:rsid w:val="00ED42BA"/>
    <w:rsid w:val="00ED7955"/>
    <w:rsid w:val="00EE1370"/>
    <w:rsid w:val="00EE1783"/>
    <w:rsid w:val="00EE1C20"/>
    <w:rsid w:val="00EE2041"/>
    <w:rsid w:val="00EE4465"/>
    <w:rsid w:val="00EE4536"/>
    <w:rsid w:val="00EF02E7"/>
    <w:rsid w:val="00EF1043"/>
    <w:rsid w:val="00EF24DA"/>
    <w:rsid w:val="00EF3700"/>
    <w:rsid w:val="00EF3750"/>
    <w:rsid w:val="00F00D7D"/>
    <w:rsid w:val="00F01B1F"/>
    <w:rsid w:val="00F03DBA"/>
    <w:rsid w:val="00F04622"/>
    <w:rsid w:val="00F11A8D"/>
    <w:rsid w:val="00F14947"/>
    <w:rsid w:val="00F16B7A"/>
    <w:rsid w:val="00F20FBB"/>
    <w:rsid w:val="00F22111"/>
    <w:rsid w:val="00F22B57"/>
    <w:rsid w:val="00F24B41"/>
    <w:rsid w:val="00F263B0"/>
    <w:rsid w:val="00F30196"/>
    <w:rsid w:val="00F31B01"/>
    <w:rsid w:val="00F31C2D"/>
    <w:rsid w:val="00F34AD7"/>
    <w:rsid w:val="00F36126"/>
    <w:rsid w:val="00F37117"/>
    <w:rsid w:val="00F42DE6"/>
    <w:rsid w:val="00F448C5"/>
    <w:rsid w:val="00F4772F"/>
    <w:rsid w:val="00F47F4B"/>
    <w:rsid w:val="00F56107"/>
    <w:rsid w:val="00F60D49"/>
    <w:rsid w:val="00F66329"/>
    <w:rsid w:val="00F71F85"/>
    <w:rsid w:val="00F73DA0"/>
    <w:rsid w:val="00F7421C"/>
    <w:rsid w:val="00F76C69"/>
    <w:rsid w:val="00F8170B"/>
    <w:rsid w:val="00F92DDD"/>
    <w:rsid w:val="00F948C0"/>
    <w:rsid w:val="00F959A2"/>
    <w:rsid w:val="00F96B56"/>
    <w:rsid w:val="00FA1B50"/>
    <w:rsid w:val="00FA5261"/>
    <w:rsid w:val="00FC1B4A"/>
    <w:rsid w:val="00FC2C47"/>
    <w:rsid w:val="00FC2E3F"/>
    <w:rsid w:val="00FC343A"/>
    <w:rsid w:val="00FC3C51"/>
    <w:rsid w:val="00FC46CC"/>
    <w:rsid w:val="00FC7577"/>
    <w:rsid w:val="00FD0D84"/>
    <w:rsid w:val="00FD3650"/>
    <w:rsid w:val="00FE73C5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A4608E2"/>
  <w15:docId w15:val="{A2029A4B-3159-46B2-B44B-D0059AEB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0EE"/>
  </w:style>
  <w:style w:type="paragraph" w:styleId="Heading2">
    <w:name w:val="heading 2"/>
    <w:basedOn w:val="Normal"/>
    <w:next w:val="Normal"/>
    <w:link w:val="Heading2Char"/>
    <w:uiPriority w:val="1"/>
    <w:qFormat/>
    <w:rsid w:val="004A24ED"/>
    <w:pPr>
      <w:widowControl w:val="0"/>
      <w:autoSpaceDE w:val="0"/>
      <w:autoSpaceDN w:val="0"/>
      <w:adjustRightInd w:val="0"/>
      <w:spacing w:after="0" w:line="240" w:lineRule="auto"/>
      <w:ind w:left="115"/>
      <w:jc w:val="both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FB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3D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5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D07"/>
  </w:style>
  <w:style w:type="paragraph" w:styleId="Footer">
    <w:name w:val="footer"/>
    <w:basedOn w:val="Normal"/>
    <w:link w:val="FooterChar"/>
    <w:uiPriority w:val="99"/>
    <w:unhideWhenUsed/>
    <w:rsid w:val="00D85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D07"/>
  </w:style>
  <w:style w:type="paragraph" w:styleId="FootnoteText">
    <w:name w:val="footnote text"/>
    <w:basedOn w:val="Normal"/>
    <w:link w:val="FootnoteTextChar"/>
    <w:uiPriority w:val="99"/>
    <w:semiHidden/>
    <w:unhideWhenUsed/>
    <w:rsid w:val="00593C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C91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593C91"/>
    <w:rPr>
      <w:vertAlign w:val="superscript"/>
    </w:rPr>
  </w:style>
  <w:style w:type="table" w:styleId="TableGrid">
    <w:name w:val="Table Grid"/>
    <w:basedOn w:val="TableNormal"/>
    <w:uiPriority w:val="39"/>
    <w:rsid w:val="001D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C18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4A24ED"/>
    <w:rPr>
      <w:rFonts w:ascii="Times New Roman" w:eastAsiaTheme="minorEastAsia" w:hAnsi="Times New Roman" w:cs="Times New Roman"/>
      <w:b/>
      <w:bCs/>
      <w:sz w:val="24"/>
      <w:szCs w:val="24"/>
      <w:lang w:eastAsia="bg-BG"/>
    </w:rPr>
  </w:style>
  <w:style w:type="paragraph" w:styleId="BodyText">
    <w:name w:val="Body Text"/>
    <w:basedOn w:val="Normal"/>
    <w:link w:val="BodyTextChar"/>
    <w:semiHidden/>
    <w:rsid w:val="004A24ED"/>
    <w:pPr>
      <w:suppressAutoHyphens/>
      <w:spacing w:after="0" w:line="280" w:lineRule="exact"/>
      <w:ind w:left="-9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4A24E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Default">
    <w:name w:val="Default"/>
    <w:rsid w:val="000E00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B93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7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31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790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76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5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eurheartj/ehad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ma.europa.eu/bg/documents/product-information/lokelma-epar-product-information_bg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93/eurheartj/ehad1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93/eurheartj/ehad1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21330-1E28-481F-89A7-064C7624C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Botusharov</dc:creator>
  <cp:lastModifiedBy>Office</cp:lastModifiedBy>
  <cp:revision>5</cp:revision>
  <cp:lastPrinted>2023-04-18T07:20:00Z</cp:lastPrinted>
  <dcterms:created xsi:type="dcterms:W3CDTF">2024-06-05T07:24:00Z</dcterms:created>
  <dcterms:modified xsi:type="dcterms:W3CDTF">2024-06-06T11:20:00Z</dcterms:modified>
</cp:coreProperties>
</file>