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4193" w:rsidRPr="00A3405A" w:rsidRDefault="006C4193" w:rsidP="006602BD">
      <w:pPr>
        <w:pStyle w:val="a3"/>
        <w:rPr>
          <w:rFonts w:ascii="Verdana" w:hAnsi="Verdana"/>
          <w:spacing w:val="40"/>
          <w:sz w:val="20"/>
        </w:rPr>
      </w:pPr>
    </w:p>
    <w:p w:rsidR="006C4193" w:rsidRPr="00A3405A" w:rsidRDefault="006C4193" w:rsidP="006602BD">
      <w:pPr>
        <w:pStyle w:val="a3"/>
        <w:rPr>
          <w:rFonts w:ascii="Verdana" w:hAnsi="Verdana"/>
          <w:spacing w:val="40"/>
          <w:sz w:val="20"/>
        </w:rPr>
      </w:pPr>
    </w:p>
    <w:p w:rsidR="00F11D33" w:rsidRPr="00A3405A" w:rsidRDefault="00F11D33" w:rsidP="006602BD">
      <w:pPr>
        <w:pStyle w:val="a3"/>
        <w:rPr>
          <w:rFonts w:ascii="Verdana" w:hAnsi="Verdana"/>
          <w:spacing w:val="40"/>
          <w:sz w:val="20"/>
        </w:rPr>
      </w:pPr>
      <w:r w:rsidRPr="00A3405A">
        <w:rPr>
          <w:rFonts w:ascii="Verdana" w:hAnsi="Verdana"/>
          <w:spacing w:val="40"/>
          <w:sz w:val="20"/>
        </w:rPr>
        <w:t>СПРАВКА</w:t>
      </w:r>
    </w:p>
    <w:p w:rsidR="00F11D33" w:rsidRPr="00A3405A" w:rsidRDefault="00F11D33" w:rsidP="006602BD">
      <w:pPr>
        <w:jc w:val="center"/>
        <w:rPr>
          <w:rFonts w:ascii="Verdana" w:hAnsi="Verdana"/>
          <w:bCs/>
          <w:sz w:val="20"/>
        </w:rPr>
      </w:pPr>
    </w:p>
    <w:p w:rsidR="00F33C95" w:rsidRPr="00A3405A" w:rsidRDefault="00F11D33" w:rsidP="00A62DFB">
      <w:pPr>
        <w:spacing w:line="360" w:lineRule="auto"/>
        <w:ind w:left="720"/>
        <w:jc w:val="center"/>
        <w:rPr>
          <w:rFonts w:ascii="Verdana" w:hAnsi="Verdana"/>
          <w:b/>
          <w:sz w:val="20"/>
        </w:rPr>
      </w:pPr>
      <w:r w:rsidRPr="00A3405A">
        <w:rPr>
          <w:rFonts w:ascii="Verdana" w:hAnsi="Verdana"/>
          <w:b/>
          <w:sz w:val="20"/>
        </w:rPr>
        <w:t xml:space="preserve">За отразяване на становищата, получени след </w:t>
      </w:r>
      <w:r w:rsidR="00E13263" w:rsidRPr="00A3405A">
        <w:rPr>
          <w:rFonts w:ascii="Verdana" w:hAnsi="Verdana"/>
          <w:b/>
          <w:sz w:val="20"/>
        </w:rPr>
        <w:t>проведен</w:t>
      </w:r>
      <w:r w:rsidR="006053C0" w:rsidRPr="00A3405A">
        <w:rPr>
          <w:rFonts w:ascii="Verdana" w:hAnsi="Verdana"/>
          <w:b/>
          <w:sz w:val="20"/>
        </w:rPr>
        <w:t>и</w:t>
      </w:r>
      <w:r w:rsidR="00E13263" w:rsidRPr="00A3405A">
        <w:rPr>
          <w:rFonts w:ascii="Verdana" w:hAnsi="Verdana"/>
          <w:b/>
          <w:sz w:val="20"/>
        </w:rPr>
        <w:t xml:space="preserve"> обществен</w:t>
      </w:r>
      <w:r w:rsidR="006053C0" w:rsidRPr="00A3405A">
        <w:rPr>
          <w:rFonts w:ascii="Verdana" w:hAnsi="Verdana"/>
          <w:b/>
          <w:sz w:val="20"/>
        </w:rPr>
        <w:t>и</w:t>
      </w:r>
      <w:r w:rsidR="00E13263" w:rsidRPr="00A3405A">
        <w:rPr>
          <w:rFonts w:ascii="Verdana" w:hAnsi="Verdana"/>
          <w:b/>
          <w:sz w:val="20"/>
        </w:rPr>
        <w:t xml:space="preserve"> </w:t>
      </w:r>
      <w:r w:rsidR="006053C0" w:rsidRPr="00A3405A">
        <w:rPr>
          <w:rFonts w:ascii="Verdana" w:hAnsi="Verdana"/>
          <w:b/>
          <w:sz w:val="20"/>
        </w:rPr>
        <w:t>консултации</w:t>
      </w:r>
      <w:r w:rsidR="00E13263" w:rsidRPr="00A3405A">
        <w:rPr>
          <w:rFonts w:ascii="Verdana" w:hAnsi="Verdana"/>
          <w:b/>
          <w:sz w:val="20"/>
        </w:rPr>
        <w:t xml:space="preserve"> </w:t>
      </w:r>
      <w:r w:rsidR="00F0074C" w:rsidRPr="00A3405A">
        <w:rPr>
          <w:rFonts w:ascii="Verdana" w:hAnsi="Verdana"/>
          <w:b/>
          <w:sz w:val="20"/>
        </w:rPr>
        <w:t>по</w:t>
      </w:r>
      <w:r w:rsidR="00E13263" w:rsidRPr="00A3405A">
        <w:rPr>
          <w:rFonts w:ascii="Verdana" w:hAnsi="Verdana"/>
          <w:b/>
          <w:sz w:val="20"/>
        </w:rPr>
        <w:t xml:space="preserve"> </w:t>
      </w:r>
      <w:r w:rsidR="00041DBB" w:rsidRPr="00A3405A">
        <w:rPr>
          <w:rFonts w:ascii="Verdana" w:hAnsi="Verdana"/>
          <w:b/>
          <w:sz w:val="20"/>
        </w:rPr>
        <w:t xml:space="preserve">проект на </w:t>
      </w:r>
      <w:r w:rsidR="00684FE6" w:rsidRPr="00684FE6">
        <w:rPr>
          <w:rFonts w:ascii="Verdana" w:hAnsi="Verdana"/>
          <w:b/>
          <w:sz w:val="20"/>
        </w:rPr>
        <w:t>Постановление на Министерския съвет за приемане на Наредба за критериите, условията и реда за определяне на статут на домакинства в положение на енергийна бедност и на статут на уязвими клиенти за снабдяване с електрическа енергия</w:t>
      </w:r>
      <w:r w:rsidR="00684FE6">
        <w:rPr>
          <w:rFonts w:ascii="Verdana" w:hAnsi="Verdana"/>
          <w:b/>
          <w:sz w:val="20"/>
        </w:rPr>
        <w:t xml:space="preserve"> </w:t>
      </w:r>
    </w:p>
    <w:p w:rsidR="006C4193" w:rsidRPr="00A3405A" w:rsidRDefault="006C4193" w:rsidP="00A62DFB">
      <w:pPr>
        <w:spacing w:line="360" w:lineRule="auto"/>
        <w:ind w:left="720"/>
        <w:jc w:val="center"/>
        <w:rPr>
          <w:rFonts w:ascii="Verdana" w:hAnsi="Verdana"/>
          <w:b/>
          <w:sz w:val="20"/>
        </w:rPr>
      </w:pPr>
    </w:p>
    <w:tbl>
      <w:tblPr>
        <w:tblW w:w="16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5"/>
        <w:gridCol w:w="7705"/>
        <w:gridCol w:w="2333"/>
        <w:gridCol w:w="3687"/>
      </w:tblGrid>
      <w:tr w:rsidR="00F11D33" w:rsidRPr="00A3405A" w:rsidTr="001023DF">
        <w:trPr>
          <w:tblHeader/>
          <w:jc w:val="center"/>
        </w:trPr>
        <w:tc>
          <w:tcPr>
            <w:tcW w:w="2355" w:type="dxa"/>
            <w:shd w:val="clear" w:color="auto" w:fill="3366FF"/>
            <w:vAlign w:val="center"/>
          </w:tcPr>
          <w:p w:rsidR="0007009A" w:rsidRPr="00A3405A" w:rsidRDefault="0007009A" w:rsidP="00345449">
            <w:pPr>
              <w:jc w:val="center"/>
              <w:rPr>
                <w:rFonts w:ascii="Verdana" w:hAnsi="Verdana"/>
                <w:b/>
                <w:color w:val="FFFFFF"/>
                <w:sz w:val="20"/>
              </w:rPr>
            </w:pPr>
            <w:r w:rsidRPr="00A3405A">
              <w:rPr>
                <w:rFonts w:ascii="Verdana" w:hAnsi="Verdana"/>
                <w:b/>
                <w:color w:val="FFFFFF"/>
                <w:sz w:val="20"/>
              </w:rPr>
              <w:t>АДРЕСАНТ</w:t>
            </w:r>
          </w:p>
        </w:tc>
        <w:tc>
          <w:tcPr>
            <w:tcW w:w="7705" w:type="dxa"/>
            <w:shd w:val="clear" w:color="auto" w:fill="3366FF"/>
            <w:vAlign w:val="center"/>
          </w:tcPr>
          <w:p w:rsidR="00F11D33" w:rsidRPr="00A3405A" w:rsidRDefault="00F11D33" w:rsidP="00345449">
            <w:pPr>
              <w:pStyle w:val="4"/>
              <w:ind w:left="62"/>
              <w:rPr>
                <w:rFonts w:ascii="Verdana" w:hAnsi="Verdana"/>
                <w:color w:val="FFFFFF"/>
                <w:sz w:val="20"/>
              </w:rPr>
            </w:pPr>
            <w:r w:rsidRPr="00A3405A">
              <w:rPr>
                <w:rFonts w:ascii="Verdana" w:hAnsi="Verdana"/>
                <w:color w:val="FFFFFF"/>
                <w:sz w:val="20"/>
              </w:rPr>
              <w:t>Предложение</w:t>
            </w:r>
          </w:p>
        </w:tc>
        <w:tc>
          <w:tcPr>
            <w:tcW w:w="2333" w:type="dxa"/>
            <w:shd w:val="clear" w:color="auto" w:fill="3366FF"/>
            <w:vAlign w:val="center"/>
          </w:tcPr>
          <w:p w:rsidR="00F11D33" w:rsidRPr="00A3405A" w:rsidRDefault="00F11D33" w:rsidP="00345449">
            <w:pPr>
              <w:jc w:val="center"/>
              <w:rPr>
                <w:rFonts w:ascii="Verdana" w:hAnsi="Verdana"/>
                <w:b/>
                <w:color w:val="FFFFFF"/>
                <w:sz w:val="20"/>
              </w:rPr>
            </w:pPr>
            <w:r w:rsidRPr="00A3405A">
              <w:rPr>
                <w:rFonts w:ascii="Verdana" w:hAnsi="Verdana"/>
                <w:b/>
                <w:color w:val="FFFFFF"/>
                <w:sz w:val="20"/>
              </w:rPr>
              <w:t>Приема/не приема предложението</w:t>
            </w:r>
          </w:p>
        </w:tc>
        <w:tc>
          <w:tcPr>
            <w:tcW w:w="3687" w:type="dxa"/>
            <w:shd w:val="clear" w:color="auto" w:fill="3366FF"/>
            <w:vAlign w:val="center"/>
          </w:tcPr>
          <w:p w:rsidR="00F11D33" w:rsidRPr="00A3405A" w:rsidRDefault="00F11D33" w:rsidP="00345449">
            <w:pPr>
              <w:jc w:val="center"/>
              <w:rPr>
                <w:rFonts w:ascii="Verdana" w:hAnsi="Verdana"/>
                <w:b/>
                <w:color w:val="FFFFFF"/>
                <w:sz w:val="20"/>
              </w:rPr>
            </w:pPr>
            <w:r w:rsidRPr="00A3405A">
              <w:rPr>
                <w:rFonts w:ascii="Verdana" w:hAnsi="Verdana"/>
                <w:b/>
                <w:color w:val="FFFFFF"/>
                <w:sz w:val="20"/>
              </w:rPr>
              <w:t>Мотиви</w:t>
            </w:r>
          </w:p>
        </w:tc>
      </w:tr>
      <w:tr w:rsidR="007F59D2" w:rsidRPr="00A3405A" w:rsidTr="007F59D2">
        <w:trPr>
          <w:trHeight w:val="588"/>
          <w:jc w:val="center"/>
        </w:trPr>
        <w:tc>
          <w:tcPr>
            <w:tcW w:w="2355" w:type="dxa"/>
          </w:tcPr>
          <w:p w:rsidR="008C3A37" w:rsidRPr="00A60126" w:rsidRDefault="00684FE6" w:rsidP="0007009A">
            <w:pPr>
              <w:ind w:right="-129"/>
              <w:jc w:val="center"/>
              <w:rPr>
                <w:rFonts w:ascii="Verdana" w:hAnsi="Verdana"/>
                <w:b/>
                <w:sz w:val="20"/>
              </w:rPr>
            </w:pPr>
            <w:r w:rsidRPr="00684FE6">
              <w:rPr>
                <w:rFonts w:ascii="Verdana" w:hAnsi="Verdana"/>
                <w:b/>
                <w:sz w:val="20"/>
              </w:rPr>
              <w:t>ангел марков</w:t>
            </w:r>
          </w:p>
        </w:tc>
        <w:tc>
          <w:tcPr>
            <w:tcW w:w="7705" w:type="dxa"/>
            <w:vAlign w:val="center"/>
          </w:tcPr>
          <w:p w:rsidR="00684FE6" w:rsidRPr="00684FE6" w:rsidRDefault="00684FE6" w:rsidP="00684FE6">
            <w:pPr>
              <w:ind w:left="62"/>
              <w:jc w:val="both"/>
              <w:rPr>
                <w:rFonts w:ascii="Verdana" w:hAnsi="Verdana"/>
                <w:bCs/>
                <w:sz w:val="20"/>
              </w:rPr>
            </w:pPr>
            <w:r w:rsidRPr="00684FE6">
              <w:rPr>
                <w:rFonts w:ascii="Verdana" w:hAnsi="Verdana"/>
                <w:bCs/>
                <w:sz w:val="20"/>
              </w:rPr>
              <w:t>Енергетиката се управлява чрез общи условия изготвени от търговските дружества, от съдържанието на които са изхвърлени нормите, нормативите и статиите на калкулацията.</w:t>
            </w:r>
          </w:p>
          <w:p w:rsidR="00684FE6" w:rsidRPr="00684FE6" w:rsidRDefault="00684FE6" w:rsidP="00684FE6">
            <w:pPr>
              <w:ind w:left="62"/>
              <w:jc w:val="both"/>
              <w:rPr>
                <w:rFonts w:ascii="Verdana" w:hAnsi="Verdana"/>
                <w:bCs/>
                <w:sz w:val="20"/>
              </w:rPr>
            </w:pPr>
          </w:p>
          <w:p w:rsidR="007F59D2" w:rsidRPr="00A3405A" w:rsidRDefault="00684FE6" w:rsidP="00684FE6">
            <w:pPr>
              <w:ind w:left="62"/>
              <w:jc w:val="both"/>
              <w:rPr>
                <w:rFonts w:ascii="Verdana" w:hAnsi="Verdana"/>
                <w:bCs/>
                <w:sz w:val="20"/>
              </w:rPr>
            </w:pPr>
            <w:r w:rsidRPr="00684FE6">
              <w:rPr>
                <w:rFonts w:ascii="Verdana" w:hAnsi="Verdana"/>
                <w:bCs/>
                <w:sz w:val="20"/>
              </w:rPr>
              <w:t>За да се установят пазар и пазарни отношения, следва да се възстанови компетентността на КЕВР за определяне/изготвяне на общите условия, дадена на Комисията с чл.16, ал.1, т6 ЗЕЕЕ (Д. в.64 от 1999 г..), (чл.21, ал.1, т.4 ЗЕ) и едва след това да се предлага и приема наредбата.</w:t>
            </w:r>
            <w:r>
              <w:rPr>
                <w:rFonts w:ascii="Verdana" w:hAnsi="Verdana"/>
                <w:bCs/>
                <w:sz w:val="20"/>
              </w:rPr>
              <w:t xml:space="preserve"> </w:t>
            </w:r>
          </w:p>
        </w:tc>
        <w:tc>
          <w:tcPr>
            <w:tcW w:w="2333" w:type="dxa"/>
            <w:vAlign w:val="center"/>
          </w:tcPr>
          <w:p w:rsidR="007F59D2" w:rsidRPr="00A3405A" w:rsidRDefault="00A60126">
            <w:pPr>
              <w:jc w:val="both"/>
              <w:rPr>
                <w:rFonts w:ascii="Verdana" w:hAnsi="Verdana"/>
                <w:b/>
                <w:sz w:val="20"/>
              </w:rPr>
            </w:pPr>
            <w:r>
              <w:rPr>
                <w:rFonts w:ascii="Verdana" w:hAnsi="Verdana"/>
                <w:b/>
                <w:sz w:val="20"/>
              </w:rPr>
              <w:t>Не</w:t>
            </w:r>
          </w:p>
        </w:tc>
        <w:tc>
          <w:tcPr>
            <w:tcW w:w="3687" w:type="dxa"/>
            <w:vAlign w:val="center"/>
          </w:tcPr>
          <w:p w:rsidR="007F59D2" w:rsidRPr="00A3405A" w:rsidRDefault="00684FE6" w:rsidP="008C3A37">
            <w:pPr>
              <w:ind w:left="62"/>
              <w:rPr>
                <w:rFonts w:ascii="Verdana" w:hAnsi="Verdana"/>
                <w:bCs/>
                <w:sz w:val="20"/>
              </w:rPr>
            </w:pPr>
            <w:r w:rsidRPr="00684FE6">
              <w:rPr>
                <w:rFonts w:ascii="Verdana" w:hAnsi="Verdana"/>
                <w:bCs/>
                <w:sz w:val="20"/>
              </w:rPr>
              <w:t>Публикувания коментар в Портала за обществени консултации не съдържа конкретни предложения за надграждане на текстовете в предложения проект на Постановление на Министерския съвет за приемане на Наредба за критериите, условията и реда за определяне на статут на домакинства в положение на енергийна бедност и на статут на уязвими клиенти за снабдяване с електрическа енергия</w:t>
            </w:r>
            <w:r>
              <w:rPr>
                <w:rFonts w:ascii="Verdana" w:hAnsi="Verdana"/>
                <w:bCs/>
                <w:sz w:val="20"/>
              </w:rPr>
              <w:t xml:space="preserve"> </w:t>
            </w:r>
          </w:p>
        </w:tc>
      </w:tr>
      <w:tr w:rsidR="003015B4" w:rsidRPr="00A3405A" w:rsidTr="001023DF">
        <w:trPr>
          <w:trHeight w:val="630"/>
          <w:jc w:val="center"/>
        </w:trPr>
        <w:tc>
          <w:tcPr>
            <w:tcW w:w="2355" w:type="dxa"/>
          </w:tcPr>
          <w:p w:rsidR="003015B4" w:rsidRPr="00A3405A" w:rsidRDefault="00FC0419" w:rsidP="003015B4">
            <w:pPr>
              <w:jc w:val="center"/>
              <w:rPr>
                <w:rFonts w:ascii="Verdana" w:hAnsi="Verdana"/>
                <w:b/>
                <w:sz w:val="20"/>
              </w:rPr>
            </w:pPr>
            <w:r w:rsidRPr="00FC0419">
              <w:rPr>
                <w:rFonts w:ascii="Verdana" w:hAnsi="Verdana"/>
                <w:b/>
                <w:sz w:val="20"/>
              </w:rPr>
              <w:t>Омбудсман на РБ</w:t>
            </w:r>
          </w:p>
        </w:tc>
        <w:tc>
          <w:tcPr>
            <w:tcW w:w="7705" w:type="dxa"/>
          </w:tcPr>
          <w:p w:rsidR="003015B4" w:rsidRPr="00A3405A" w:rsidRDefault="00FC0419" w:rsidP="003015B4">
            <w:pPr>
              <w:ind w:left="62"/>
              <w:jc w:val="both"/>
              <w:rPr>
                <w:rFonts w:ascii="Verdana" w:hAnsi="Verdana"/>
                <w:bCs/>
                <w:sz w:val="20"/>
              </w:rPr>
            </w:pPr>
            <w:r>
              <w:rPr>
                <w:rFonts w:ascii="Verdana" w:hAnsi="Verdana"/>
                <w:bCs/>
                <w:sz w:val="20"/>
              </w:rPr>
              <w:t>Н</w:t>
            </w:r>
            <w:r w:rsidRPr="00FC0419">
              <w:rPr>
                <w:rFonts w:ascii="Verdana" w:hAnsi="Verdana"/>
                <w:bCs/>
                <w:sz w:val="20"/>
              </w:rPr>
              <w:t>а основание Закона за омбудсмана се обръщам към Вас по компетентност да предприемете действия за публикуване на мотиви към Проекта и предвид това - да бъде удължен срокът за общественото му обсъждане</w:t>
            </w:r>
          </w:p>
        </w:tc>
        <w:tc>
          <w:tcPr>
            <w:tcW w:w="2333" w:type="dxa"/>
          </w:tcPr>
          <w:p w:rsidR="003015B4" w:rsidRPr="00A60126" w:rsidRDefault="00480036" w:rsidP="003015B4">
            <w:pPr>
              <w:rPr>
                <w:rFonts w:ascii="Verdana" w:hAnsi="Verdana"/>
                <w:b/>
                <w:sz w:val="20"/>
              </w:rPr>
            </w:pPr>
            <w:r>
              <w:rPr>
                <w:rFonts w:ascii="Verdana" w:hAnsi="Verdana"/>
                <w:b/>
                <w:sz w:val="20"/>
              </w:rPr>
              <w:t>Приема се частично</w:t>
            </w:r>
          </w:p>
        </w:tc>
        <w:tc>
          <w:tcPr>
            <w:tcW w:w="3687" w:type="dxa"/>
            <w:vAlign w:val="center"/>
          </w:tcPr>
          <w:p w:rsidR="003015B4" w:rsidRPr="00A3405A" w:rsidRDefault="003015B4" w:rsidP="003015B4">
            <w:pPr>
              <w:ind w:left="62"/>
              <w:rPr>
                <w:rFonts w:ascii="Verdana" w:hAnsi="Verdana"/>
                <w:bCs/>
                <w:sz w:val="20"/>
              </w:rPr>
            </w:pPr>
          </w:p>
        </w:tc>
      </w:tr>
      <w:tr w:rsidR="003015B4" w:rsidRPr="00A3405A" w:rsidTr="001023DF">
        <w:trPr>
          <w:trHeight w:val="630"/>
          <w:jc w:val="center"/>
        </w:trPr>
        <w:tc>
          <w:tcPr>
            <w:tcW w:w="2355" w:type="dxa"/>
          </w:tcPr>
          <w:p w:rsidR="003015B4" w:rsidRPr="00A3405A" w:rsidRDefault="00FC0419" w:rsidP="003015B4">
            <w:pPr>
              <w:jc w:val="center"/>
              <w:rPr>
                <w:rFonts w:ascii="Verdana" w:hAnsi="Verdana"/>
                <w:b/>
                <w:sz w:val="20"/>
              </w:rPr>
            </w:pPr>
            <w:r>
              <w:rPr>
                <w:rFonts w:ascii="Verdana" w:hAnsi="Verdana"/>
                <w:b/>
                <w:sz w:val="20"/>
              </w:rPr>
              <w:t>Омбудсман на РБ</w:t>
            </w:r>
          </w:p>
        </w:tc>
        <w:tc>
          <w:tcPr>
            <w:tcW w:w="7705" w:type="dxa"/>
          </w:tcPr>
          <w:p w:rsidR="00FC0419" w:rsidRPr="00FC0419" w:rsidRDefault="00FC0419" w:rsidP="00FC0419">
            <w:pPr>
              <w:ind w:left="62"/>
              <w:jc w:val="both"/>
              <w:rPr>
                <w:rFonts w:ascii="Verdana" w:hAnsi="Verdana"/>
                <w:bCs/>
                <w:sz w:val="20"/>
              </w:rPr>
            </w:pPr>
            <w:r w:rsidRPr="00FC0419">
              <w:rPr>
                <w:rFonts w:ascii="Verdana" w:hAnsi="Verdana"/>
                <w:bCs/>
                <w:sz w:val="20"/>
              </w:rPr>
              <w:t xml:space="preserve">Нарушени са законови принципи при изработването на проект на нормативен акт. </w:t>
            </w:r>
          </w:p>
          <w:p w:rsidR="00FC0419" w:rsidRPr="00FC0419" w:rsidRDefault="00FC0419" w:rsidP="00FC0419">
            <w:pPr>
              <w:ind w:left="62"/>
              <w:jc w:val="both"/>
              <w:rPr>
                <w:rFonts w:ascii="Verdana" w:hAnsi="Verdana"/>
                <w:bCs/>
                <w:sz w:val="20"/>
              </w:rPr>
            </w:pPr>
            <w:r w:rsidRPr="00FC0419">
              <w:rPr>
                <w:rFonts w:ascii="Verdana" w:hAnsi="Verdana"/>
                <w:bCs/>
                <w:sz w:val="20"/>
              </w:rPr>
              <w:t>Нито към момента на публикуване на Проекта в Портала за обществени консултации – 25.10.2023 г., нито към 08.11.2023 г. въпросният ЗИД на ЗЕ не е приет повторно в НС, не е обнародван и не е влязъл в сила.</w:t>
            </w:r>
          </w:p>
          <w:p w:rsidR="003015B4" w:rsidRDefault="00FC0419" w:rsidP="00FC0419">
            <w:pPr>
              <w:ind w:left="62"/>
              <w:jc w:val="both"/>
              <w:rPr>
                <w:rFonts w:ascii="Verdana" w:hAnsi="Verdana"/>
                <w:bCs/>
                <w:sz w:val="20"/>
              </w:rPr>
            </w:pPr>
            <w:r w:rsidRPr="00FC0419">
              <w:rPr>
                <w:rFonts w:ascii="Verdana" w:hAnsi="Verdana"/>
                <w:bCs/>
                <w:sz w:val="20"/>
              </w:rPr>
              <w:t>Освен това, съгласно императивната разпоредба на чл. 28, ал. 4 от ЗНА: „Проект на нормативен акт, към който не са приложени мотиви, съответно доклад, съгласно изискванията по ал. 2 и предварителна оценка на въздействието съгласно глава втора, а за проект на закон или кодекс - и справка по ал. 3, не се обсъжда от компетентния орган.“</w:t>
            </w:r>
          </w:p>
          <w:p w:rsidR="00FC0419" w:rsidRPr="00A3405A" w:rsidRDefault="00FC0419" w:rsidP="00FC0419">
            <w:pPr>
              <w:ind w:left="62"/>
              <w:jc w:val="both"/>
              <w:rPr>
                <w:rFonts w:ascii="Verdana" w:hAnsi="Verdana"/>
                <w:bCs/>
                <w:sz w:val="20"/>
              </w:rPr>
            </w:pPr>
            <w:r w:rsidRPr="00FC0419">
              <w:rPr>
                <w:rFonts w:ascii="Verdana" w:hAnsi="Verdana"/>
                <w:bCs/>
                <w:sz w:val="20"/>
              </w:rPr>
              <w:t>С оглед на изложеното и на основание Закона за омбудсмана отправям препоръка за прекратяване на настоящата процедура по обществени консултации на Проекта. Нова процедура за обществено обсъждане да се проведе след обнародване в Държавен вестник на ЗИД на ЗЕ.</w:t>
            </w:r>
          </w:p>
        </w:tc>
        <w:tc>
          <w:tcPr>
            <w:tcW w:w="2333" w:type="dxa"/>
          </w:tcPr>
          <w:p w:rsidR="003015B4" w:rsidRPr="00A60126" w:rsidRDefault="00480036" w:rsidP="003015B4">
            <w:pPr>
              <w:rPr>
                <w:rFonts w:ascii="Verdana" w:hAnsi="Verdana"/>
                <w:b/>
                <w:sz w:val="20"/>
              </w:rPr>
            </w:pPr>
            <w:r>
              <w:rPr>
                <w:rFonts w:ascii="Verdana" w:hAnsi="Verdana"/>
                <w:b/>
                <w:sz w:val="20"/>
              </w:rPr>
              <w:t xml:space="preserve">Приема се частично </w:t>
            </w:r>
          </w:p>
        </w:tc>
        <w:tc>
          <w:tcPr>
            <w:tcW w:w="3687" w:type="dxa"/>
            <w:vAlign w:val="center"/>
          </w:tcPr>
          <w:p w:rsidR="003015B4" w:rsidRPr="00A3405A" w:rsidRDefault="003015B4" w:rsidP="003015B4">
            <w:pPr>
              <w:ind w:left="62"/>
              <w:jc w:val="both"/>
              <w:rPr>
                <w:rFonts w:ascii="Verdana" w:hAnsi="Verdana"/>
                <w:bCs/>
                <w:sz w:val="20"/>
              </w:rPr>
            </w:pPr>
          </w:p>
        </w:tc>
      </w:tr>
      <w:tr w:rsidR="00DE4802" w:rsidRPr="00A3405A" w:rsidTr="001023DF">
        <w:trPr>
          <w:trHeight w:val="630"/>
          <w:jc w:val="center"/>
        </w:trPr>
        <w:tc>
          <w:tcPr>
            <w:tcW w:w="2355" w:type="dxa"/>
          </w:tcPr>
          <w:p w:rsidR="00DE4802" w:rsidRPr="00A3405A" w:rsidRDefault="00FC0419" w:rsidP="00DE4802">
            <w:pPr>
              <w:jc w:val="center"/>
              <w:rPr>
                <w:rFonts w:ascii="Verdana" w:hAnsi="Verdana"/>
                <w:b/>
                <w:sz w:val="20"/>
              </w:rPr>
            </w:pPr>
            <w:r>
              <w:rPr>
                <w:rFonts w:ascii="Verdana" w:hAnsi="Verdana"/>
                <w:b/>
                <w:sz w:val="20"/>
              </w:rPr>
              <w:t>БСК</w:t>
            </w:r>
          </w:p>
        </w:tc>
        <w:tc>
          <w:tcPr>
            <w:tcW w:w="7705" w:type="dxa"/>
          </w:tcPr>
          <w:p w:rsidR="00FC0419" w:rsidRPr="00FC0419" w:rsidRDefault="00FC0419" w:rsidP="00FC0419">
            <w:pPr>
              <w:ind w:left="62"/>
              <w:jc w:val="both"/>
              <w:rPr>
                <w:rFonts w:ascii="Verdana" w:hAnsi="Verdana"/>
                <w:bCs/>
                <w:sz w:val="20"/>
              </w:rPr>
            </w:pPr>
            <w:r>
              <w:rPr>
                <w:rFonts w:ascii="Verdana" w:hAnsi="Verdana"/>
                <w:bCs/>
                <w:sz w:val="20"/>
              </w:rPr>
              <w:t>О</w:t>
            </w:r>
            <w:r w:rsidRPr="00FC0419">
              <w:rPr>
                <w:rFonts w:ascii="Verdana" w:hAnsi="Verdana"/>
                <w:bCs/>
                <w:sz w:val="20"/>
              </w:rPr>
              <w:t>бръщаме внимание на необходимостта от прецизиране и допълване на част от текста, вкл.:</w:t>
            </w:r>
          </w:p>
          <w:p w:rsidR="00FC0419" w:rsidRPr="00FC0419" w:rsidRDefault="00FC0419" w:rsidP="00FC0419">
            <w:pPr>
              <w:ind w:left="62"/>
              <w:jc w:val="both"/>
              <w:rPr>
                <w:rFonts w:ascii="Verdana" w:hAnsi="Verdana"/>
                <w:bCs/>
                <w:sz w:val="20"/>
              </w:rPr>
            </w:pPr>
            <w:r w:rsidRPr="00FC0419">
              <w:rPr>
                <w:rFonts w:ascii="Verdana" w:hAnsi="Verdana"/>
                <w:bCs/>
                <w:sz w:val="20"/>
              </w:rPr>
              <w:t>1.</w:t>
            </w:r>
            <w:r w:rsidRPr="00FC0419">
              <w:rPr>
                <w:rFonts w:ascii="Verdana" w:hAnsi="Verdana"/>
                <w:bCs/>
                <w:sz w:val="20"/>
              </w:rPr>
              <w:tab/>
            </w:r>
            <w:r w:rsidRPr="00FC0419">
              <w:rPr>
                <w:rFonts w:ascii="Verdana" w:hAnsi="Verdana"/>
                <w:b/>
                <w:bCs/>
                <w:sz w:val="20"/>
              </w:rPr>
              <w:t>Отстраняване на все още съществуващите неясноти относно</w:t>
            </w:r>
            <w:r w:rsidRPr="00FC0419">
              <w:rPr>
                <w:rFonts w:ascii="Verdana" w:hAnsi="Verdana"/>
                <w:bCs/>
                <w:sz w:val="20"/>
              </w:rPr>
              <w:t>:</w:t>
            </w:r>
          </w:p>
          <w:p w:rsidR="00FC0419" w:rsidRPr="00FC0419" w:rsidRDefault="00FC0419" w:rsidP="00FC0419">
            <w:pPr>
              <w:ind w:left="62"/>
              <w:jc w:val="both"/>
              <w:rPr>
                <w:rFonts w:ascii="Verdana" w:hAnsi="Verdana"/>
                <w:bCs/>
                <w:sz w:val="20"/>
              </w:rPr>
            </w:pPr>
            <w:r w:rsidRPr="00FC0419">
              <w:rPr>
                <w:rFonts w:ascii="Verdana" w:hAnsi="Verdana"/>
                <w:bCs/>
                <w:sz w:val="20"/>
              </w:rPr>
              <w:t>•</w:t>
            </w:r>
            <w:r w:rsidRPr="00FC0419">
              <w:rPr>
                <w:rFonts w:ascii="Verdana" w:hAnsi="Verdana"/>
                <w:bCs/>
                <w:sz w:val="20"/>
              </w:rPr>
              <w:tab/>
              <w:t>Процедура, която да регламентира удостоверяване на адресната регистрация на лицата в обхвата на наредбата (ДПЕБУКСЕЕ) по служебен ред или чрез представяне на удостоверение.</w:t>
            </w:r>
          </w:p>
          <w:p w:rsidR="00FC0419" w:rsidRPr="00FC0419" w:rsidRDefault="00FC0419" w:rsidP="00FC0419">
            <w:pPr>
              <w:ind w:left="62"/>
              <w:jc w:val="both"/>
              <w:rPr>
                <w:rFonts w:ascii="Verdana" w:hAnsi="Verdana"/>
                <w:bCs/>
                <w:sz w:val="20"/>
              </w:rPr>
            </w:pPr>
            <w:r w:rsidRPr="00FC0419">
              <w:rPr>
                <w:rFonts w:ascii="Verdana" w:hAnsi="Verdana"/>
                <w:bCs/>
                <w:sz w:val="20"/>
              </w:rPr>
              <w:t>•</w:t>
            </w:r>
            <w:r w:rsidRPr="00FC0419">
              <w:rPr>
                <w:rFonts w:ascii="Verdana" w:hAnsi="Verdana"/>
                <w:bCs/>
                <w:sz w:val="20"/>
              </w:rPr>
              <w:tab/>
              <w:t>По отношение на чл. 7, ал. 4 от проектонаредбата следва да се изясни за какъв имот тя се отнася.</w:t>
            </w:r>
          </w:p>
          <w:p w:rsidR="00FC0419" w:rsidRPr="00FC0419" w:rsidRDefault="00FC0419" w:rsidP="00FC0419">
            <w:pPr>
              <w:ind w:left="62"/>
              <w:jc w:val="both"/>
              <w:rPr>
                <w:rFonts w:ascii="Verdana" w:hAnsi="Verdana"/>
                <w:bCs/>
                <w:sz w:val="20"/>
              </w:rPr>
            </w:pPr>
            <w:r w:rsidRPr="00FC0419">
              <w:rPr>
                <w:rFonts w:ascii="Verdana" w:hAnsi="Verdana"/>
                <w:bCs/>
                <w:sz w:val="20"/>
              </w:rPr>
              <w:t>о Предполагаме става въпрос за жилището, на адреса на което членовете на</w:t>
            </w:r>
          </w:p>
          <w:p w:rsidR="00FC0419" w:rsidRPr="00FC0419" w:rsidRDefault="00FC0419" w:rsidP="00FC0419">
            <w:pPr>
              <w:ind w:left="62"/>
              <w:jc w:val="both"/>
              <w:rPr>
                <w:rFonts w:ascii="Verdana" w:hAnsi="Verdana"/>
                <w:bCs/>
                <w:sz w:val="20"/>
              </w:rPr>
            </w:pPr>
            <w:r w:rsidRPr="00FC0419">
              <w:rPr>
                <w:rFonts w:ascii="Verdana" w:hAnsi="Verdana"/>
                <w:bCs/>
                <w:sz w:val="20"/>
              </w:rPr>
              <w:t>домакинството имат адресна регистрация по настоящ адрес; о Следва текстът на проекта да се допълни с "или друг документ/титул за собственост, а ако лицето или нито един член на домакинството не е собственик на имота - и документ за правното основание за ползването/държането му.</w:t>
            </w:r>
          </w:p>
          <w:p w:rsidR="00FC0419" w:rsidRPr="00FC0419" w:rsidRDefault="00FC0419" w:rsidP="00FC0419">
            <w:pPr>
              <w:ind w:left="62"/>
              <w:jc w:val="both"/>
              <w:rPr>
                <w:rFonts w:ascii="Verdana" w:hAnsi="Verdana"/>
                <w:bCs/>
                <w:sz w:val="20"/>
              </w:rPr>
            </w:pPr>
            <w:r w:rsidRPr="00FC0419">
              <w:rPr>
                <w:rFonts w:ascii="Verdana" w:hAnsi="Verdana"/>
                <w:bCs/>
                <w:sz w:val="20"/>
              </w:rPr>
              <w:t>•</w:t>
            </w:r>
            <w:r w:rsidRPr="00FC0419">
              <w:rPr>
                <w:rFonts w:ascii="Verdana" w:hAnsi="Verdana"/>
                <w:bCs/>
                <w:sz w:val="20"/>
              </w:rPr>
              <w:tab/>
              <w:t>в настоящия проектен вариант на наредбата не е определено какво означава терминът "домакинство". За съгласуваност между институциите и избягване на несъответствия в параметрите, имащи значение за формиране на политики на национално ниво, е препоръчително да се прилагат вече наличните дефиниции и определения, особено в случай, че имат общоприета същественост и съществуване на ЕС ниво. От тази гледна точка, предлагаме да бъде инкорпорирано в проекта на наредба предложението на НСИ да се дефинира терминът „домакинство" като: Домакинство е едно лице, което живее в самостоятелно жилище, стая или част от стая и е на самостоятелен бюджет, както и две или повече лица, които живеят в едно жилище или част от жилище и имат общ бюджет, независимо дали имат, или нямат родствени връзки.</w:t>
            </w:r>
          </w:p>
          <w:p w:rsidR="00FC0419" w:rsidRPr="00FC0419" w:rsidRDefault="00FC0419" w:rsidP="00FC0419">
            <w:pPr>
              <w:ind w:left="62"/>
              <w:jc w:val="both"/>
              <w:rPr>
                <w:rFonts w:ascii="Verdana" w:hAnsi="Verdana"/>
                <w:bCs/>
                <w:sz w:val="20"/>
              </w:rPr>
            </w:pPr>
            <w:r w:rsidRPr="00FC0419">
              <w:rPr>
                <w:rFonts w:ascii="Verdana" w:hAnsi="Verdana"/>
                <w:bCs/>
                <w:sz w:val="20"/>
              </w:rPr>
              <w:t>Лицата имат общ бюджет, когато споделят разходи за храна и средства от първа необходимост, разходи за издръжка на деца или други лица без доходи. Не е задължително да се изразходват общо всички средства на всички членове на домакинството, за да се приеме, че лицата са на общ бюджет."</w:t>
            </w:r>
          </w:p>
          <w:p w:rsidR="00FC0419" w:rsidRPr="00FC0419" w:rsidRDefault="00FC0419" w:rsidP="00FC0419">
            <w:pPr>
              <w:ind w:left="62"/>
              <w:jc w:val="both"/>
              <w:rPr>
                <w:rFonts w:ascii="Verdana" w:hAnsi="Verdana"/>
                <w:bCs/>
                <w:sz w:val="20"/>
              </w:rPr>
            </w:pPr>
            <w:r w:rsidRPr="00FC0419">
              <w:rPr>
                <w:rFonts w:ascii="Verdana" w:hAnsi="Verdana"/>
                <w:bCs/>
                <w:sz w:val="20"/>
              </w:rPr>
              <w:t>2.</w:t>
            </w:r>
            <w:r w:rsidRPr="00FC0419">
              <w:rPr>
                <w:rFonts w:ascii="Verdana" w:hAnsi="Verdana"/>
                <w:bCs/>
                <w:sz w:val="20"/>
              </w:rPr>
              <w:tab/>
            </w:r>
            <w:r w:rsidRPr="00FC0419">
              <w:rPr>
                <w:rFonts w:ascii="Verdana" w:hAnsi="Verdana"/>
                <w:b/>
                <w:bCs/>
                <w:sz w:val="20"/>
              </w:rPr>
              <w:t>По отношение на компетентния орган за определяне на статут на ДПЕБУКСЕЕ и за администриране на информационната система по чл. 11, ал. 1 на Наредбата</w:t>
            </w:r>
            <w:r w:rsidRPr="00FC0419">
              <w:rPr>
                <w:rFonts w:ascii="Verdana" w:hAnsi="Verdana"/>
                <w:bCs/>
                <w:sz w:val="20"/>
              </w:rPr>
              <w:t>.</w:t>
            </w:r>
          </w:p>
          <w:p w:rsidR="00FC0419" w:rsidRPr="00FC0419" w:rsidRDefault="00FC0419" w:rsidP="00FC0419">
            <w:pPr>
              <w:ind w:left="62"/>
              <w:jc w:val="both"/>
              <w:rPr>
                <w:rFonts w:ascii="Verdana" w:hAnsi="Verdana"/>
                <w:bCs/>
                <w:sz w:val="20"/>
              </w:rPr>
            </w:pPr>
            <w:r w:rsidRPr="00FC0419">
              <w:rPr>
                <w:rFonts w:ascii="Verdana" w:hAnsi="Verdana"/>
                <w:bCs/>
                <w:sz w:val="20"/>
              </w:rPr>
              <w:t>Доколкото основен компетентен орган за изпълнение на държавната политика за социално подпомагане и предоставяне на социални помощи, с изграден капацитет, натрупан опит и развита териториална мрежа е Агенцията за социално подпомагане, в чл. 11, ал.1 последната следва бъде посочена поименно, като се регламентират нейните отговорности по изграждане и поддържане на информационната система. Същевременно, следва да бъдат инициирани незабавно мерки, вкл. финансирани от държавния бюджет за 2024 г., за укрепване на кадровия и финансов ресурс, снабденост с ИКТ и други необходими условия за изпълняване на новите функции от страна на Агенцията, предвидени с последните промени на ЗЕ и проекта на наредба.</w:t>
            </w:r>
          </w:p>
          <w:p w:rsidR="00FC0419" w:rsidRPr="00FC0419" w:rsidRDefault="00FC0419" w:rsidP="00FC0419">
            <w:pPr>
              <w:ind w:left="62"/>
              <w:jc w:val="both"/>
              <w:rPr>
                <w:rFonts w:ascii="Verdana" w:hAnsi="Verdana"/>
                <w:bCs/>
                <w:sz w:val="20"/>
              </w:rPr>
            </w:pPr>
            <w:r w:rsidRPr="00FC0419">
              <w:rPr>
                <w:rFonts w:ascii="Verdana" w:hAnsi="Verdana"/>
                <w:bCs/>
                <w:sz w:val="20"/>
              </w:rPr>
              <w:t>3.</w:t>
            </w:r>
            <w:r w:rsidRPr="00FC0419">
              <w:rPr>
                <w:rFonts w:ascii="Verdana" w:hAnsi="Verdana"/>
                <w:bCs/>
                <w:sz w:val="20"/>
              </w:rPr>
              <w:tab/>
            </w:r>
            <w:r w:rsidRPr="00FC0419">
              <w:rPr>
                <w:rFonts w:ascii="Verdana" w:hAnsi="Verdana"/>
                <w:b/>
                <w:bCs/>
                <w:sz w:val="20"/>
              </w:rPr>
              <w:t>Информационна система по чл. 11, ал. 1</w:t>
            </w:r>
            <w:r w:rsidRPr="00FC0419">
              <w:rPr>
                <w:rFonts w:ascii="Verdana" w:hAnsi="Verdana"/>
                <w:bCs/>
                <w:sz w:val="20"/>
              </w:rPr>
              <w:t>.</w:t>
            </w:r>
          </w:p>
          <w:p w:rsidR="00FC0419" w:rsidRPr="00FC0419" w:rsidRDefault="00FC0419" w:rsidP="00FC0419">
            <w:pPr>
              <w:ind w:left="62"/>
              <w:jc w:val="both"/>
              <w:rPr>
                <w:rFonts w:ascii="Verdana" w:hAnsi="Verdana"/>
                <w:bCs/>
                <w:sz w:val="20"/>
              </w:rPr>
            </w:pPr>
            <w:r w:rsidRPr="00FC0419">
              <w:rPr>
                <w:rFonts w:ascii="Verdana" w:hAnsi="Verdana"/>
                <w:bCs/>
                <w:sz w:val="20"/>
              </w:rPr>
              <w:t>Чл. 8, т.1 и 11, ал. 2 регламентират, че процесът на идентификация и определяне на ДПЕБУКСЕЕ стартира със заявяване от страна на заявители - кандидати (глава или представител на домакинство) за получаване на такъв статут. Това ориентира недвусмислено, че е необходимо изграждане на нов електронен административен регистър - част от регламентираната информационна система, съответстващ на изискванията на чл. 4а от Закона за електронното управление.</w:t>
            </w:r>
          </w:p>
          <w:p w:rsidR="00FC0419" w:rsidRPr="00FC0419" w:rsidRDefault="00FC0419" w:rsidP="00FC0419">
            <w:pPr>
              <w:ind w:left="62"/>
              <w:jc w:val="both"/>
              <w:rPr>
                <w:rFonts w:ascii="Verdana" w:hAnsi="Verdana"/>
                <w:bCs/>
                <w:sz w:val="20"/>
              </w:rPr>
            </w:pPr>
            <w:r w:rsidRPr="00FC0419">
              <w:rPr>
                <w:rFonts w:ascii="Verdana" w:hAnsi="Verdana"/>
                <w:bCs/>
                <w:sz w:val="20"/>
              </w:rPr>
              <w:t>Във връзка с това, следва да бъде променен текстът на т. б.З от Частичната предварителна оценка на въздействието, в който се отбелязва, че приемането на наредбата не изисква създаване на нови регистри. Следва да бъде описан и начинът, по който новосъздаденият регистър ще бъде интегриран в общата регистрова инфраструктура.</w:t>
            </w:r>
          </w:p>
          <w:p w:rsidR="00FC0419" w:rsidRPr="00FC0419" w:rsidRDefault="00FC0419" w:rsidP="00FC0419">
            <w:pPr>
              <w:ind w:left="62"/>
              <w:jc w:val="both"/>
              <w:rPr>
                <w:rFonts w:ascii="Verdana" w:hAnsi="Verdana"/>
                <w:bCs/>
                <w:sz w:val="20"/>
              </w:rPr>
            </w:pPr>
            <w:r w:rsidRPr="00FC0419">
              <w:rPr>
                <w:rFonts w:ascii="Verdana" w:hAnsi="Verdana"/>
                <w:bCs/>
                <w:sz w:val="20"/>
              </w:rPr>
              <w:t>Безпроблемното функциониране на информационната система и администриране на процедурите за определяне на статут на ДПЕБУКСЕЕ предполага наличието на действащ и ефективен режим на адресна регистрация по настоящ адрес. Известно е, че от повече от 30 г.</w:t>
            </w:r>
            <w:r>
              <w:rPr>
                <w:rFonts w:ascii="Verdana" w:hAnsi="Verdana"/>
                <w:bCs/>
                <w:sz w:val="20"/>
              </w:rPr>
              <w:t xml:space="preserve"> </w:t>
            </w:r>
            <w:r w:rsidRPr="00FC0419">
              <w:rPr>
                <w:rFonts w:ascii="Verdana" w:hAnsi="Verdana"/>
                <w:bCs/>
                <w:sz w:val="20"/>
              </w:rPr>
              <w:t>съответната законова регламентация, правомощия на общините, МВР и ГРАО са обект на постоянна основателна критика от страна гражданите, неправителствения сектор, бизнеса и заинтересованите институции. БСК също е поставяла многократно този проблем във връзка с определянето на нова основа за такса битови отпадъци, необходимостта от надеждна информация и данни при планирането и предоставянето на публични услуги на общинско и национално ниво и по други поводи. В тази връзка, следва да бъдат инициирани допълнителни мерки по полагането, а при необходимост и за промяна и допълване на приложимата нормативна уредба.</w:t>
            </w:r>
          </w:p>
          <w:p w:rsidR="00FC0419" w:rsidRPr="00FC0419" w:rsidRDefault="00FC0419" w:rsidP="00FC0419">
            <w:pPr>
              <w:ind w:left="62"/>
              <w:jc w:val="both"/>
              <w:rPr>
                <w:rFonts w:ascii="Verdana" w:hAnsi="Verdana"/>
                <w:bCs/>
                <w:sz w:val="20"/>
              </w:rPr>
            </w:pPr>
            <w:r w:rsidRPr="00FC0419">
              <w:rPr>
                <w:rFonts w:ascii="Verdana" w:hAnsi="Verdana"/>
                <w:bCs/>
                <w:sz w:val="20"/>
              </w:rPr>
              <w:t xml:space="preserve">4. </w:t>
            </w:r>
            <w:r w:rsidRPr="00FC0419">
              <w:rPr>
                <w:rFonts w:ascii="Verdana" w:hAnsi="Verdana"/>
                <w:b/>
                <w:bCs/>
                <w:sz w:val="20"/>
              </w:rPr>
              <w:t>Относно обхвата на бенефициентите със статут на ДПЕБУКСЕЕ</w:t>
            </w:r>
            <w:r w:rsidRPr="00FC0419">
              <w:rPr>
                <w:rFonts w:ascii="Verdana" w:hAnsi="Verdana"/>
                <w:bCs/>
                <w:sz w:val="20"/>
              </w:rPr>
              <w:t>.</w:t>
            </w:r>
          </w:p>
          <w:p w:rsidR="00DE4802" w:rsidRPr="00A3405A" w:rsidRDefault="00FC0419" w:rsidP="00FC0419">
            <w:pPr>
              <w:ind w:left="62"/>
              <w:jc w:val="both"/>
              <w:rPr>
                <w:rFonts w:ascii="Verdana" w:hAnsi="Verdana"/>
                <w:bCs/>
                <w:sz w:val="20"/>
              </w:rPr>
            </w:pPr>
            <w:r w:rsidRPr="00FC0419">
              <w:rPr>
                <w:rFonts w:ascii="Verdana" w:hAnsi="Verdana"/>
                <w:bCs/>
                <w:sz w:val="20"/>
              </w:rPr>
              <w:t>Обхватът на бенефициентите, които са дефинирани като притежаващи статут на ДПЕБУКСЕЕ, следва да бъде допълнително прецизиран, с оглед недопускане на създаване на изкривени стимули и погрешна политика, насърчаваща допълнителната маргинализация на лица от уязвимите социални групи, вместо тяхната пълноценна интеграция в пазара на труда, чрез подобряване на образователното и квалификационно равнище, насърчителни мерки за заетост и др.</w:t>
            </w:r>
          </w:p>
        </w:tc>
        <w:tc>
          <w:tcPr>
            <w:tcW w:w="2333" w:type="dxa"/>
          </w:tcPr>
          <w:p w:rsidR="00DE4802" w:rsidRPr="00A60126" w:rsidRDefault="00480036" w:rsidP="00DE4802">
            <w:pPr>
              <w:rPr>
                <w:rFonts w:ascii="Verdana" w:hAnsi="Verdana"/>
                <w:b/>
                <w:sz w:val="20"/>
              </w:rPr>
            </w:pPr>
            <w:r>
              <w:rPr>
                <w:rFonts w:ascii="Verdana" w:hAnsi="Verdana"/>
                <w:b/>
                <w:sz w:val="20"/>
              </w:rPr>
              <w:t>Приема се частично</w:t>
            </w:r>
          </w:p>
        </w:tc>
        <w:tc>
          <w:tcPr>
            <w:tcW w:w="3687" w:type="dxa"/>
            <w:vAlign w:val="center"/>
          </w:tcPr>
          <w:p w:rsidR="00DE4802" w:rsidRDefault="00DE4802" w:rsidP="00DE4802">
            <w:pPr>
              <w:ind w:left="62"/>
              <w:jc w:val="both"/>
              <w:rPr>
                <w:rFonts w:ascii="Verdana" w:hAnsi="Verdana"/>
                <w:bCs/>
                <w:sz w:val="20"/>
              </w:rPr>
            </w:pPr>
          </w:p>
        </w:tc>
      </w:tr>
      <w:tr w:rsidR="00DE4802" w:rsidRPr="00A3405A" w:rsidTr="001023DF">
        <w:trPr>
          <w:trHeight w:val="630"/>
          <w:jc w:val="center"/>
        </w:trPr>
        <w:tc>
          <w:tcPr>
            <w:tcW w:w="2355" w:type="dxa"/>
          </w:tcPr>
          <w:p w:rsidR="00DE4802" w:rsidRPr="00FC0419" w:rsidRDefault="00FC0419" w:rsidP="00DE4802">
            <w:pPr>
              <w:jc w:val="center"/>
              <w:rPr>
                <w:rFonts w:ascii="Verdana" w:hAnsi="Verdana"/>
                <w:b/>
                <w:sz w:val="20"/>
              </w:rPr>
            </w:pPr>
            <w:r>
              <w:rPr>
                <w:rFonts w:ascii="Verdana" w:hAnsi="Verdana"/>
                <w:b/>
                <w:sz w:val="20"/>
              </w:rPr>
              <w:t>ЕВН</w:t>
            </w:r>
          </w:p>
        </w:tc>
        <w:tc>
          <w:tcPr>
            <w:tcW w:w="7705" w:type="dxa"/>
          </w:tcPr>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I. Дружествата от групата на ЕВН България ще бъдат пряко засегнати от измененията в ЗЕ, с които държавата цели да гарантира достъпа до енергийни услуги на ДПЕБУКСЕЕ, поради което бихме желали да предоставим нашите препоръки и коментари по някои от текстовете на Наредбата.</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1.</w:t>
            </w:r>
            <w:r w:rsidRPr="00FC0419">
              <w:rPr>
                <w:rFonts w:ascii="Verdana" w:hAnsi="Verdana"/>
                <w:bCs/>
                <w:sz w:val="20"/>
              </w:rPr>
              <w:tab/>
              <w:t>В разпоредбата на чл.З, ал.1 и ал.2 предлагаме изрично да се регламентира, че при определяне на статута на ДПЕБУКСЕЕ критериите се преценяват на база на основно жилище по настоящ адрес на лицето.</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2.</w:t>
            </w:r>
            <w:r w:rsidRPr="00FC0419">
              <w:rPr>
                <w:rFonts w:ascii="Verdana" w:hAnsi="Verdana"/>
                <w:bCs/>
                <w:sz w:val="20"/>
              </w:rPr>
              <w:tab/>
              <w:t>Препоръчваме да се въведе механизъм за контрол на верността на декларираните данни и задължение за докладване при настъпване на промяна като проверяващият орган да има възможност да извършва последваща оценка и актуализация на информационната система най-малко на всеки шест месеца. Целта е да се гарантира актуалност на базата с данни, за да се гарантира акуратното прилагане на финансовите мерки за действително нуждаещите се потребители на енергийни услуги.</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3.</w:t>
            </w:r>
            <w:r w:rsidRPr="00FC0419">
              <w:rPr>
                <w:rFonts w:ascii="Verdana" w:hAnsi="Verdana"/>
                <w:bCs/>
                <w:sz w:val="20"/>
              </w:rPr>
              <w:tab/>
              <w:t>Отговорната институция по чл. 11 трябва да бъде посочена изрично, без да остава място за интерпретации или прехвърляне на отговорност между институциите. Това е ключово условие за ефективното прилагане на наредбата и изпълнението на реформите по ПВУ.</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4.</w:t>
            </w:r>
            <w:r w:rsidRPr="00FC0419">
              <w:rPr>
                <w:rFonts w:ascii="Verdana" w:hAnsi="Verdana"/>
                <w:bCs/>
                <w:sz w:val="20"/>
              </w:rPr>
              <w:tab/>
              <w:t>По Приложение №2 към чл. 7, ал.2 МЕТОДИКА ЗА ОБРАЗУВАНЕ НА ТИПОВИ ЦЕНИ ЗА КРАЙНИ БИТОВИ КЛИЕНТИ НА ЕЛЕКТРИЧЕСКА ЕНЕРГИЯ, ПРИСЪЕДИНЕНИ НА НИВО НИСКО НАПРЕЖЕНИЕ КЪМ ЕЛЕКТРОРАЗПРЕДЕЛИТЕЛНА МРЕЖА (Приложение №2) констатирахме някои технически пропуски, които вярваме, че при окончателния вариант на Наредбата ще бъдат отстранени, но за прецизност и изчерпателност на становището ни, по-долу ги маркираме в червен цвят, както следва:</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4.1.</w:t>
            </w:r>
            <w:r w:rsidRPr="00FC0419">
              <w:rPr>
                <w:rFonts w:ascii="Verdana" w:hAnsi="Verdana"/>
                <w:bCs/>
                <w:sz w:val="20"/>
              </w:rPr>
              <w:tab/>
              <w:t>Във формулата по т. 1 е допусната техническа грешка като вместо знак за равенство е изписан знак за „минус", а именно: Ц1-(ЦКСД+ЦМУ)*(1+%ДЦС).</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Необходимо е формулата да се коригира и да изразява следното равенство: Ц1=(ЦКСД+ЦМУ)*(1 +%ДДС)</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4.2.</w:t>
            </w:r>
            <w:r w:rsidRPr="00FC0419">
              <w:rPr>
                <w:rFonts w:ascii="Verdana" w:hAnsi="Verdana"/>
                <w:bCs/>
                <w:sz w:val="20"/>
              </w:rPr>
              <w:tab/>
              <w:t>Във формулата по т. 2 е допусната грешка в абревиатурата за „прогнозна пазарна цена на електрическата енергия за базов товар", а именно: ЦЗ=[ПГЦБТ*(1+%к1+%к2)+ЦМУ+ЦЗО]*(1+%ДДС).</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Необходимо е формулата да се коригира по следния начин:</w:t>
            </w:r>
          </w:p>
          <w:p w:rsidR="00DE4802" w:rsidRDefault="00FC0419" w:rsidP="00FC0419">
            <w:pPr>
              <w:tabs>
                <w:tab w:val="left" w:pos="346"/>
              </w:tabs>
              <w:ind w:left="62"/>
              <w:jc w:val="both"/>
              <w:rPr>
                <w:rFonts w:ascii="Verdana" w:hAnsi="Verdana"/>
                <w:bCs/>
                <w:sz w:val="20"/>
              </w:rPr>
            </w:pPr>
            <w:r w:rsidRPr="00FC0419">
              <w:rPr>
                <w:rFonts w:ascii="Verdana" w:hAnsi="Verdana"/>
                <w:bCs/>
                <w:sz w:val="20"/>
              </w:rPr>
              <w:t>ЦЗ=[ППЦБТ*(1 +%к1 +%к2)+ЦМУ+ЦЗО]*(1 +%ДДС)</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II. По отношение на цялостната политика за защита и финансова подкрепа на енергийно бедни и уязвими клиенти, чиито елементи ще бъдат обект на други правни норми, използваме възможността да подчертаем някои основни принципи, които очакваме да залегнат в дизайна на мерките за финансова подкрепа: 1. Помощта следва клиента. Финансовата подкрепа би следвало да се отпуска на енергийно бедното лице, което от своя страна да използва тези средства за погасяване на задълженията си към доставчика на енергия. Помощта не трябва да се отпуска на обект - жилище, или с оглед договора с доставчика, а на физическото лице - бенефициент на услугата, за да се гарантира максимална свобода и защита на интересите на клиента, на</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2/3 </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доставчика на енергия както и минимални административни процедури при смяна доставчик, още повече, че тенденцията е за пълно либерализиране на пазара на електрическата енергия, практически ще е възможно даден клиент да сменя доставчика си няколко пъти годишно.</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2.</w:t>
            </w:r>
            <w:r w:rsidRPr="00FC0419">
              <w:rPr>
                <w:rFonts w:ascii="Verdana" w:hAnsi="Verdana"/>
                <w:bCs/>
                <w:sz w:val="20"/>
              </w:rPr>
              <w:tab/>
              <w:t>Гарантирана ликвидност. Помощите следва да се получават своевременно, на месечна база, под формата на парична наличност в електронна карта или ваучери, които да могат да се използват само за потребената енергия или свързани с енергийна ефективност услуги, и които не създават ликвиден риск за доставчика на енергия.</w:t>
            </w:r>
          </w:p>
          <w:p w:rsidR="00FC0419" w:rsidRPr="00B92587" w:rsidRDefault="00FC0419" w:rsidP="00FC0419">
            <w:pPr>
              <w:tabs>
                <w:tab w:val="left" w:pos="346"/>
              </w:tabs>
              <w:ind w:left="62"/>
              <w:jc w:val="both"/>
              <w:rPr>
                <w:rFonts w:ascii="Verdana" w:hAnsi="Verdana"/>
                <w:bCs/>
                <w:sz w:val="20"/>
              </w:rPr>
            </w:pPr>
            <w:r w:rsidRPr="00FC0419">
              <w:rPr>
                <w:rFonts w:ascii="Verdana" w:hAnsi="Verdana"/>
                <w:bCs/>
                <w:sz w:val="20"/>
              </w:rPr>
              <w:t>3.</w:t>
            </w:r>
            <w:r w:rsidRPr="00FC0419">
              <w:rPr>
                <w:rFonts w:ascii="Verdana" w:hAnsi="Verdana"/>
                <w:bCs/>
                <w:sz w:val="20"/>
              </w:rPr>
              <w:tab/>
              <w:t>Равнопоставеност. Всички търговци, включително и крайните снабдители трябва да бъдат равнопоставени по отношение на достъпа до и задълженията спрямо енергийно бедните клиенти. За да бъде механизмът недискриминационен', той би следвало да се прилага при равни условия за всички енергийно бедни крайни клиенти, респективно за техните доставчици, независимо от територията на потребление.</w:t>
            </w:r>
            <w:r>
              <w:rPr>
                <w:rFonts w:ascii="Verdana" w:hAnsi="Verdana"/>
                <w:bCs/>
                <w:sz w:val="20"/>
              </w:rPr>
              <w:t xml:space="preserve"> </w:t>
            </w:r>
          </w:p>
        </w:tc>
        <w:tc>
          <w:tcPr>
            <w:tcW w:w="2333" w:type="dxa"/>
          </w:tcPr>
          <w:p w:rsidR="00DE4802" w:rsidRPr="00A60126" w:rsidRDefault="00480036" w:rsidP="00DE4802">
            <w:pPr>
              <w:rPr>
                <w:rFonts w:ascii="Verdana" w:hAnsi="Verdana"/>
                <w:b/>
                <w:sz w:val="20"/>
              </w:rPr>
            </w:pPr>
            <w:r>
              <w:rPr>
                <w:rFonts w:ascii="Verdana" w:hAnsi="Verdana"/>
                <w:b/>
                <w:sz w:val="20"/>
              </w:rPr>
              <w:t xml:space="preserve">Приема се частично </w:t>
            </w:r>
          </w:p>
        </w:tc>
        <w:tc>
          <w:tcPr>
            <w:tcW w:w="3687" w:type="dxa"/>
            <w:vAlign w:val="center"/>
          </w:tcPr>
          <w:p w:rsidR="00DE4802" w:rsidRDefault="00DE4802" w:rsidP="00DE4802">
            <w:pPr>
              <w:ind w:left="62"/>
              <w:jc w:val="both"/>
              <w:rPr>
                <w:rFonts w:ascii="Verdana" w:hAnsi="Verdana"/>
                <w:bCs/>
                <w:sz w:val="20"/>
              </w:rPr>
            </w:pPr>
          </w:p>
        </w:tc>
      </w:tr>
      <w:tr w:rsidR="00FC0419" w:rsidRPr="00A3405A" w:rsidTr="001023DF">
        <w:trPr>
          <w:trHeight w:val="630"/>
          <w:jc w:val="center"/>
        </w:trPr>
        <w:tc>
          <w:tcPr>
            <w:tcW w:w="2355" w:type="dxa"/>
          </w:tcPr>
          <w:p w:rsidR="00FC0419" w:rsidRDefault="00FC0419" w:rsidP="00DE4802">
            <w:pPr>
              <w:jc w:val="center"/>
              <w:rPr>
                <w:rFonts w:ascii="Verdana" w:hAnsi="Verdana"/>
                <w:b/>
                <w:sz w:val="20"/>
              </w:rPr>
            </w:pPr>
            <w:r>
              <w:rPr>
                <w:rFonts w:ascii="Verdana" w:hAnsi="Verdana"/>
                <w:b/>
                <w:sz w:val="20"/>
              </w:rPr>
              <w:t>Електрохолд</w:t>
            </w:r>
          </w:p>
        </w:tc>
        <w:tc>
          <w:tcPr>
            <w:tcW w:w="7705" w:type="dxa"/>
          </w:tcPr>
          <w:p w:rsidR="00FC0419" w:rsidRPr="00FC0419" w:rsidRDefault="00FC0419" w:rsidP="00FC0419">
            <w:pPr>
              <w:tabs>
                <w:tab w:val="left" w:pos="346"/>
              </w:tabs>
              <w:ind w:left="62"/>
              <w:jc w:val="both"/>
              <w:rPr>
                <w:rFonts w:ascii="Verdana" w:hAnsi="Verdana"/>
                <w:bCs/>
                <w:sz w:val="20"/>
              </w:rPr>
            </w:pPr>
            <w:r>
              <w:rPr>
                <w:rFonts w:ascii="Verdana" w:hAnsi="Verdana"/>
                <w:bCs/>
                <w:sz w:val="20"/>
              </w:rPr>
              <w:t>Н</w:t>
            </w:r>
            <w:r w:rsidRPr="00FC0419">
              <w:rPr>
                <w:rFonts w:ascii="Verdana" w:hAnsi="Verdana"/>
                <w:bCs/>
                <w:sz w:val="20"/>
              </w:rPr>
              <w:t>амираме липсата на законова регламентация на понятието „енергийна бедност" към датата на обявяване и приключване на обществената консултация за формална пречка и несъответствие със Закона за нормативните актове (ЗНА). В проекта на Наредба се реферира към разпоредби от Закона за енергетиката (ЗЕ), който към днешна дата не съществуват (чл. 7, ал. 3 и чл. 13 от проекта на Наредба). В тази връзка считаме, че настоящата обществена консултация следва да бъде разглеждана като предварителна и след като измененията и допълненията на ЗЕ влязат в сила е необходимо да бъде проведена нова такава. Тогава ще стане възможно да се изпълни и чл. 7, ал. 2 от ЗНА, като изрично в преходни и заключителни разпоредби на Наредбата се посочи на основание на коя точно разпоредба от ЗЕ тя се издава.</w:t>
            </w:r>
          </w:p>
          <w:p w:rsidR="00FC0419" w:rsidRPr="00FC0419" w:rsidRDefault="00FC0419" w:rsidP="00FC0419">
            <w:pPr>
              <w:tabs>
                <w:tab w:val="left" w:pos="346"/>
              </w:tabs>
              <w:ind w:left="62"/>
              <w:jc w:val="both"/>
              <w:rPr>
                <w:rFonts w:ascii="Verdana" w:hAnsi="Verdana"/>
                <w:bCs/>
                <w:sz w:val="20"/>
              </w:rPr>
            </w:pPr>
            <w:r w:rsidRPr="00FC0419">
              <w:rPr>
                <w:rFonts w:ascii="Verdana" w:hAnsi="Verdana"/>
                <w:bCs/>
                <w:sz w:val="20"/>
              </w:rPr>
              <w:t>На следващо място, в чл. 14 от проекта на Наредба се предвижда правата за достъп до информационната система за ДПЕБУКСЕЕ да се предоставят съгласно процедура, утвърдена от органа по чл. 11 от Наредбата. Предвид факта, че дружествата от енергийния сектор ще имат задължения да отчитат и осигуряват специалните права за енергийно бедните домакинства и/или уязвимите клиенти, то изразяваме нашето разбиране, че достъпът на тези дружества като ползватели на информационната системата следва да бъде безплатен и да не предизвиква извършването на допълнителни разходи. Считаме за удачно да се предвиди задължение за органа по чл. 11, който към момента не е определен, да съгласува проекта на процедурата за предоставяне на достъп с органите и дружествата, които ще се явят ползватели на информационната система за изпълнение на предвидените мерки за защита.</w:t>
            </w:r>
          </w:p>
        </w:tc>
        <w:tc>
          <w:tcPr>
            <w:tcW w:w="2333" w:type="dxa"/>
          </w:tcPr>
          <w:p w:rsidR="00FC0419" w:rsidRPr="00A60126" w:rsidRDefault="00480036" w:rsidP="00DE4802">
            <w:pPr>
              <w:rPr>
                <w:rFonts w:ascii="Verdana" w:hAnsi="Verdana"/>
                <w:b/>
                <w:sz w:val="20"/>
              </w:rPr>
            </w:pPr>
            <w:r>
              <w:rPr>
                <w:rFonts w:ascii="Verdana" w:hAnsi="Verdana"/>
                <w:b/>
                <w:sz w:val="20"/>
              </w:rPr>
              <w:t xml:space="preserve">Приема се частично </w:t>
            </w:r>
          </w:p>
        </w:tc>
        <w:tc>
          <w:tcPr>
            <w:tcW w:w="3687" w:type="dxa"/>
            <w:vAlign w:val="center"/>
          </w:tcPr>
          <w:p w:rsidR="00FC0419" w:rsidRDefault="00FC0419" w:rsidP="00DE4802">
            <w:pPr>
              <w:ind w:left="62"/>
              <w:jc w:val="both"/>
              <w:rPr>
                <w:rFonts w:ascii="Verdana" w:hAnsi="Verdana"/>
                <w:bCs/>
                <w:sz w:val="20"/>
              </w:rPr>
            </w:pPr>
          </w:p>
        </w:tc>
      </w:tr>
      <w:tr w:rsidR="001D1C86" w:rsidRPr="00A3405A" w:rsidTr="001023DF">
        <w:trPr>
          <w:trHeight w:val="630"/>
          <w:jc w:val="center"/>
        </w:trPr>
        <w:tc>
          <w:tcPr>
            <w:tcW w:w="2355" w:type="dxa"/>
          </w:tcPr>
          <w:p w:rsidR="001D1C86" w:rsidRDefault="001D1C86" w:rsidP="00DE4802">
            <w:pPr>
              <w:jc w:val="center"/>
              <w:rPr>
                <w:rFonts w:ascii="Verdana" w:hAnsi="Verdana"/>
                <w:b/>
                <w:sz w:val="20"/>
              </w:rPr>
            </w:pPr>
            <w:r w:rsidRPr="001D1C86">
              <w:rPr>
                <w:rFonts w:ascii="Verdana" w:hAnsi="Verdana"/>
                <w:b/>
                <w:sz w:val="20"/>
              </w:rPr>
              <w:t>Сдружение „Асоциация Интегро“</w:t>
            </w:r>
          </w:p>
        </w:tc>
        <w:tc>
          <w:tcPr>
            <w:tcW w:w="7705" w:type="dxa"/>
          </w:tcPr>
          <w:p w:rsidR="001D1C86" w:rsidRPr="001D1C86" w:rsidRDefault="001D1C86" w:rsidP="001D1C86">
            <w:pPr>
              <w:tabs>
                <w:tab w:val="left" w:pos="346"/>
              </w:tabs>
              <w:ind w:left="62"/>
              <w:jc w:val="both"/>
              <w:rPr>
                <w:rFonts w:ascii="Verdana" w:hAnsi="Verdana"/>
                <w:bCs/>
                <w:sz w:val="20"/>
              </w:rPr>
            </w:pPr>
            <w:r w:rsidRPr="001D1C86">
              <w:rPr>
                <w:rFonts w:ascii="Verdana" w:hAnsi="Verdana"/>
                <w:bCs/>
                <w:sz w:val="20"/>
              </w:rPr>
              <w:t>Приопределяне на домакинствата в положение на енергийна бедност, следва да се разглеждат всички аспекти на  бедността, а не само разполагаемия средномесечен доход на членовете на домакинството,както е посочено в Чл. 3 (1) в проекта за наредба. При разглеждане на бедността, освен доходите е необходимо да бъдат взети под внимание и следните фактори: Адекватните жилищни условия иинфраструктурата; Достъпа до образование и култура; Възможностите за развитие; и</w:t>
            </w:r>
            <w:r w:rsidR="00480036">
              <w:rPr>
                <w:rFonts w:ascii="Verdana" w:hAnsi="Verdana"/>
                <w:bCs/>
                <w:sz w:val="20"/>
              </w:rPr>
              <w:t xml:space="preserve"> </w:t>
            </w:r>
            <w:r w:rsidRPr="001D1C86">
              <w:rPr>
                <w:rFonts w:ascii="Verdana" w:hAnsi="Verdana"/>
                <w:bCs/>
                <w:sz w:val="20"/>
              </w:rPr>
              <w:t>др.</w:t>
            </w:r>
          </w:p>
          <w:p w:rsidR="001D1C86" w:rsidRPr="001D1C86" w:rsidRDefault="001D1C86" w:rsidP="001D1C86">
            <w:pPr>
              <w:tabs>
                <w:tab w:val="left" w:pos="346"/>
              </w:tabs>
              <w:ind w:left="62"/>
              <w:jc w:val="both"/>
              <w:rPr>
                <w:rFonts w:ascii="Verdana" w:hAnsi="Verdana"/>
                <w:bCs/>
                <w:sz w:val="20"/>
              </w:rPr>
            </w:pPr>
            <w:r w:rsidRPr="001D1C86">
              <w:rPr>
                <w:rFonts w:ascii="Verdana" w:hAnsi="Verdana"/>
                <w:bCs/>
                <w:sz w:val="20"/>
              </w:rPr>
              <w:t>Поданни на Министерството на регионалното развитие и благоустройството /МРРБ/, към настоящия момент 77 000 пълнолетни български граждани нямат валидни лични документи, поради липсата на постоянен адрес, тъй като живеят в неформални жилища извън регулация. Въпреки екстремната бедност, в която живеят тези хора, които в по – голямата си част са български граждани от ромски произход, те нямат достъп до заетост, както и до месечни соц</w:t>
            </w:r>
            <w:r w:rsidR="00480036">
              <w:rPr>
                <w:rFonts w:ascii="Verdana" w:hAnsi="Verdana"/>
                <w:bCs/>
                <w:sz w:val="20"/>
              </w:rPr>
              <w:t>иални помощи и/или целева помощ</w:t>
            </w:r>
            <w:r w:rsidRPr="001D1C86">
              <w:rPr>
                <w:rFonts w:ascii="Verdana" w:hAnsi="Verdana"/>
                <w:bCs/>
                <w:sz w:val="20"/>
              </w:rPr>
              <w:t>,</w:t>
            </w:r>
            <w:r w:rsidR="00480036">
              <w:rPr>
                <w:rFonts w:ascii="Verdana" w:hAnsi="Verdana"/>
                <w:bCs/>
                <w:sz w:val="20"/>
              </w:rPr>
              <w:t xml:space="preserve"> </w:t>
            </w:r>
            <w:r w:rsidRPr="001D1C86">
              <w:rPr>
                <w:rFonts w:ascii="Verdana" w:hAnsi="Verdana"/>
                <w:bCs/>
                <w:sz w:val="20"/>
              </w:rPr>
              <w:t>именно поради липсата на валидни лични карти и не попадат в нито един отчетирите критерия описани в Чл. 3 (2) от проекта за Наредба. Би следвало обхвата на критериите да се разшири, като се добави критерий „Лица живеещи в</w:t>
            </w:r>
            <w:r w:rsidR="00480036">
              <w:rPr>
                <w:rFonts w:ascii="Verdana" w:hAnsi="Verdana"/>
                <w:bCs/>
                <w:sz w:val="20"/>
              </w:rPr>
              <w:t xml:space="preserve"> </w:t>
            </w:r>
            <w:r w:rsidRPr="001D1C86">
              <w:rPr>
                <w:rFonts w:ascii="Verdana" w:hAnsi="Verdana"/>
                <w:bCs/>
                <w:sz w:val="20"/>
              </w:rPr>
              <w:t xml:space="preserve">бедност или друго еквивалентно определение“. </w:t>
            </w:r>
          </w:p>
          <w:p w:rsidR="001D1C86" w:rsidRDefault="001D1C86" w:rsidP="001D1C86">
            <w:pPr>
              <w:tabs>
                <w:tab w:val="left" w:pos="346"/>
              </w:tabs>
              <w:ind w:left="62"/>
              <w:jc w:val="both"/>
              <w:rPr>
                <w:rFonts w:ascii="Verdana" w:hAnsi="Verdana"/>
                <w:bCs/>
                <w:sz w:val="20"/>
              </w:rPr>
            </w:pPr>
            <w:r w:rsidRPr="001D1C86">
              <w:rPr>
                <w:rFonts w:ascii="Verdana" w:hAnsi="Verdana"/>
                <w:bCs/>
                <w:sz w:val="20"/>
              </w:rPr>
              <w:t>По отношение на типа жилищни сгради със специфичен годишен разход на първична невъзобновяема енергия, в определените в Чл. 6 (1) от проекта за наредба сгради, не попадат жилищата, които са извън регулация и собствениците не разполагат с документ за собственост, но са потребители на електрическа енергия,  от  лицензирано дружество  или търговец на електроенергия. Следва в гореспоменатия член, да се въведе жилище „Тип 6“,</w:t>
            </w:r>
            <w:r w:rsidR="00480036">
              <w:rPr>
                <w:rFonts w:ascii="Verdana" w:hAnsi="Verdana"/>
                <w:bCs/>
                <w:sz w:val="20"/>
              </w:rPr>
              <w:t xml:space="preserve"> </w:t>
            </w:r>
            <w:r w:rsidRPr="001D1C86">
              <w:rPr>
                <w:rFonts w:ascii="Verdana" w:hAnsi="Verdana"/>
                <w:bCs/>
                <w:sz w:val="20"/>
              </w:rPr>
              <w:t xml:space="preserve">което да включва и такива жилищни сгради.    </w:t>
            </w:r>
            <w:r>
              <w:rPr>
                <w:rFonts w:ascii="Verdana" w:hAnsi="Verdana"/>
                <w:bCs/>
                <w:sz w:val="20"/>
              </w:rPr>
              <w:t xml:space="preserve"> </w:t>
            </w:r>
          </w:p>
        </w:tc>
        <w:tc>
          <w:tcPr>
            <w:tcW w:w="2333" w:type="dxa"/>
          </w:tcPr>
          <w:p w:rsidR="001D1C86" w:rsidRPr="00A60126" w:rsidRDefault="00480036" w:rsidP="00DE4802">
            <w:pPr>
              <w:rPr>
                <w:rFonts w:ascii="Verdana" w:hAnsi="Verdana"/>
                <w:b/>
                <w:sz w:val="20"/>
              </w:rPr>
            </w:pPr>
            <w:r>
              <w:rPr>
                <w:rFonts w:ascii="Verdana" w:hAnsi="Verdana"/>
                <w:b/>
                <w:sz w:val="20"/>
              </w:rPr>
              <w:t xml:space="preserve">Не се </w:t>
            </w:r>
            <w:r w:rsidR="009B2FCE">
              <w:rPr>
                <w:rFonts w:ascii="Verdana" w:hAnsi="Verdana"/>
                <w:b/>
                <w:sz w:val="20"/>
              </w:rPr>
              <w:t xml:space="preserve">приема </w:t>
            </w:r>
          </w:p>
        </w:tc>
        <w:tc>
          <w:tcPr>
            <w:tcW w:w="3687" w:type="dxa"/>
            <w:vAlign w:val="center"/>
          </w:tcPr>
          <w:p w:rsidR="00493F39" w:rsidRDefault="00493F39" w:rsidP="00DE4802">
            <w:pPr>
              <w:ind w:left="62"/>
              <w:jc w:val="both"/>
              <w:rPr>
                <w:rFonts w:ascii="Verdana" w:hAnsi="Verdana"/>
                <w:bCs/>
                <w:sz w:val="20"/>
              </w:rPr>
            </w:pPr>
            <w:r>
              <w:rPr>
                <w:rFonts w:ascii="Verdana" w:hAnsi="Verdana"/>
                <w:bCs/>
                <w:sz w:val="20"/>
              </w:rPr>
              <w:t>Предложението не съдържа конкретни предложения. Настоящата наредба е насочена към определяне на лицата попадащи в рамките на определени за енергийна бедност, а не лица „живеещи в бедност“, за което не са предложени измерими критерии.</w:t>
            </w:r>
          </w:p>
          <w:p w:rsidR="001D1C86" w:rsidRDefault="00493F39" w:rsidP="00493F39">
            <w:pPr>
              <w:ind w:left="62"/>
              <w:jc w:val="both"/>
              <w:rPr>
                <w:rFonts w:ascii="Verdana" w:hAnsi="Verdana"/>
                <w:bCs/>
                <w:sz w:val="20"/>
              </w:rPr>
            </w:pPr>
            <w:r>
              <w:rPr>
                <w:rFonts w:ascii="Verdana" w:hAnsi="Verdana"/>
                <w:bCs/>
                <w:sz w:val="20"/>
              </w:rPr>
              <w:t xml:space="preserve">Посоченият тип сгради не може да бъде включен, тъй като за подобни жилища не отговарят на законовите изисквания и не не следва да бъдат присъединени към мрежата. В допълнение за тях няма адекватни данни за определяне на потребяваната енергия. </w:t>
            </w:r>
          </w:p>
        </w:tc>
      </w:tr>
      <w:tr w:rsidR="00CA1611" w:rsidRPr="00A3405A" w:rsidTr="001023DF">
        <w:trPr>
          <w:trHeight w:val="630"/>
          <w:jc w:val="center"/>
        </w:trPr>
        <w:tc>
          <w:tcPr>
            <w:tcW w:w="2355" w:type="dxa"/>
          </w:tcPr>
          <w:p w:rsidR="00CA1611" w:rsidRPr="001D1C86" w:rsidRDefault="00CA1611" w:rsidP="00DE4802">
            <w:pPr>
              <w:jc w:val="center"/>
              <w:rPr>
                <w:rFonts w:ascii="Verdana" w:hAnsi="Verdana"/>
                <w:b/>
                <w:sz w:val="20"/>
              </w:rPr>
            </w:pPr>
            <w:r>
              <w:rPr>
                <w:rFonts w:ascii="Verdana" w:hAnsi="Verdana"/>
                <w:b/>
                <w:sz w:val="20"/>
              </w:rPr>
              <w:t>Хабитат България</w:t>
            </w:r>
          </w:p>
        </w:tc>
        <w:tc>
          <w:tcPr>
            <w:tcW w:w="7705" w:type="dxa"/>
          </w:tcPr>
          <w:p w:rsidR="00CA1611" w:rsidRPr="00CA1611" w:rsidRDefault="00CA1611" w:rsidP="00CA1611">
            <w:pPr>
              <w:tabs>
                <w:tab w:val="left" w:pos="346"/>
              </w:tabs>
              <w:ind w:left="62"/>
              <w:jc w:val="both"/>
              <w:rPr>
                <w:rFonts w:ascii="Verdana" w:hAnsi="Verdana"/>
                <w:bCs/>
                <w:sz w:val="20"/>
              </w:rPr>
            </w:pPr>
            <w:r w:rsidRPr="00CA1611">
              <w:rPr>
                <w:rFonts w:ascii="Verdana" w:hAnsi="Verdana"/>
                <w:b/>
                <w:bCs/>
                <w:sz w:val="20"/>
              </w:rPr>
              <w:t>На първо място, към момента промените в Закона за енергетиката не са публикувани и липсва законова рамка за Наредбата</w:t>
            </w:r>
            <w:r w:rsidRPr="00CA1611">
              <w:rPr>
                <w:rFonts w:ascii="Verdana" w:hAnsi="Verdana"/>
                <w:bCs/>
                <w:sz w:val="20"/>
              </w:rPr>
              <w:t xml:space="preserve"> - няма определение за енергийна бедност, няма отговорни институции по темата, няма формално основание за наредбата, няма срокове за приемане и влизане в сила на същата. Действащата дефиниция за уязвими клиенти е неизчерпателна: 66в. (нова - ДВ, бр. 54 от 2012 г., в сила от 17.07.2012 г.) "Уязвими клиенти" са битови клиенти, които получават целеви помощи за електрическа енергия, топлинна</w:t>
            </w:r>
            <w:r>
              <w:rPr>
                <w:rFonts w:ascii="Verdana" w:hAnsi="Verdana"/>
                <w:bCs/>
                <w:sz w:val="20"/>
              </w:rPr>
              <w:t xml:space="preserve"> </w:t>
            </w:r>
            <w:r w:rsidRPr="00CA1611">
              <w:rPr>
                <w:rFonts w:ascii="Verdana" w:hAnsi="Verdana"/>
                <w:bCs/>
                <w:sz w:val="20"/>
              </w:rPr>
              <w:t>енергия или природен газ съгласно Закона за социалното подпомагане и подзаконовите нормативни актове по прилагането му. Част от препратките в Наредбата са към членове и алинеи, които не фигурират в действащия закон.</w:t>
            </w:r>
          </w:p>
          <w:p w:rsidR="00CA1611" w:rsidRPr="00CA1611" w:rsidRDefault="00CA1611" w:rsidP="00CA1611">
            <w:pPr>
              <w:tabs>
                <w:tab w:val="left" w:pos="346"/>
              </w:tabs>
              <w:ind w:left="62"/>
              <w:jc w:val="both"/>
              <w:rPr>
                <w:rFonts w:ascii="Verdana" w:hAnsi="Verdana"/>
                <w:bCs/>
                <w:sz w:val="20"/>
              </w:rPr>
            </w:pPr>
            <w:r w:rsidRPr="00CA1611">
              <w:rPr>
                <w:rFonts w:ascii="Verdana" w:hAnsi="Verdana"/>
                <w:b/>
                <w:bCs/>
                <w:sz w:val="20"/>
              </w:rPr>
              <w:t>На второ място, от 11 октомври 2023 г., влезе в сила новата Директива за енергийна ефективност 2023/1791</w:t>
            </w:r>
            <w:r w:rsidRPr="00CA1611">
              <w:rPr>
                <w:rFonts w:ascii="Verdana" w:hAnsi="Verdana"/>
                <w:bCs/>
                <w:sz w:val="20"/>
              </w:rPr>
              <w:t>. В нея, в чл.2, т.52 е дадено определение: „енергийна бедност" означава липсата на достъп на дадено домакинство до основни енергийни услуги, осигуряващи основно ниво и достоен стандарт на живот и здраве, включително достатъчно отопление, топла вода, охлаждане, осветление и енергия за домакински уреди, в съответния национален контекст и при наличната национална социална политика и други значими национални политики, като това състояние се дължи на съчетание от фактори, включително най-малко на финансова недостъпност, недостатъчен разполагаем доход, високи енергийни разходи и ниска енергийна ефективност на жилищата;</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В чл.8, т.З е казано, че при оценката на дела на енергийната бедност в националните си планове в областта на енергетиката и климата държавите членки вземат предвид следните показатели:</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а)</w:t>
            </w:r>
            <w:r w:rsidRPr="00CA1611">
              <w:rPr>
                <w:rFonts w:ascii="Verdana" w:hAnsi="Verdana"/>
                <w:bCs/>
                <w:sz w:val="20"/>
              </w:rPr>
              <w:tab/>
              <w:t>невъзможност да се поддържа домът достатъчно топъл (Евростат, SILC [ilc_mdes01]);</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б)</w:t>
            </w:r>
            <w:r w:rsidRPr="00CA1611">
              <w:rPr>
                <w:rFonts w:ascii="Verdana" w:hAnsi="Verdana"/>
                <w:bCs/>
                <w:sz w:val="20"/>
              </w:rPr>
              <w:tab/>
              <w:t>просрочени задължения по сметките за комунални услуги (Евростат, SILC, [ilc_mdes07]);</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в)</w:t>
            </w:r>
            <w:r w:rsidRPr="00CA1611">
              <w:rPr>
                <w:rFonts w:ascii="Verdana" w:hAnsi="Verdana"/>
                <w:bCs/>
                <w:sz w:val="20"/>
              </w:rPr>
              <w:tab/>
              <w:t>обща численост на населението, живеещо в жилища с течащ покрив, влага в стените, подовете или основите, или прогнила дограма или под (Евростат, SILC [ilc_mdho01]);</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г)</w:t>
            </w:r>
            <w:r w:rsidRPr="00CA1611">
              <w:rPr>
                <w:rFonts w:ascii="Verdana" w:hAnsi="Verdana"/>
                <w:bCs/>
                <w:sz w:val="20"/>
              </w:rPr>
              <w:tab/>
              <w:t>процент на хората, изложени на риск от бедност (Евростат, проучвания на SILC и ЕСНР [ilc_li02]) (граница на изключване: 60 % от медианния еквивалентен доход след социални трансфери).</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Директивата също указва, че: Всяка държава членка следва да определи понятието „уязвими клиенти", което може да препраща към енергийната бедност и, наред с другото, към забрана за изключване от електроснабдителната мрежа на такива клиенти в критични моменти. Понятието „уязвими клиенти" може да включва равнища на доходите, дял на разходите за енергия в разполагаемия доход, енергийна ефективност на жилищата, критична зависимост от електрическо оборудване по здравословни причини, възраст или други критерии. Това допуска държавите членки да включат хората от домакинства с ниски доходи.</w:t>
            </w:r>
          </w:p>
          <w:p w:rsidR="00CA1611" w:rsidRPr="00CA1611" w:rsidRDefault="00CA1611" w:rsidP="00CA1611">
            <w:pPr>
              <w:tabs>
                <w:tab w:val="left" w:pos="346"/>
              </w:tabs>
              <w:ind w:left="62"/>
              <w:jc w:val="both"/>
              <w:rPr>
                <w:rFonts w:ascii="Verdana" w:hAnsi="Verdana"/>
                <w:bCs/>
                <w:sz w:val="20"/>
              </w:rPr>
            </w:pPr>
            <w:r w:rsidRPr="00CA1611">
              <w:rPr>
                <w:rFonts w:ascii="Verdana" w:hAnsi="Verdana"/>
                <w:b/>
                <w:bCs/>
                <w:sz w:val="20"/>
              </w:rPr>
              <w:t>На трето място, на 20 октомври 2023 г., бе публикувана ПРЕПОРЪКА (ЕС) 2023/2407 НА КОМИСИЯТА относно енергийната бедност</w:t>
            </w:r>
            <w:r w:rsidRPr="00CA1611">
              <w:rPr>
                <w:rFonts w:ascii="Verdana" w:hAnsi="Verdana"/>
                <w:bCs/>
                <w:sz w:val="20"/>
              </w:rPr>
              <w:t>, EUR-Lex - 32023Н2407 - EN - EUR-Lex (europa.eu), в която първата препоръка към държавите членки е: Да предприемат бързи стъпки за транспониране и прилагане в националното законодателство на определението за енергийна бедност съгласно член 2, точка 52) от Директива (ЕС) 2023/1791. В националното определение следва да се прави разграничение между понятието „енергийна бедност" и понятието „уязвими клиенти" въз основа на член 3 от Директива 2009/73/Е0, член 28 от Директива (ЕС) 2019/944 и член 24, параграф 1, първа алинея от Директива (ЕС) 2023/1791. </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Считаме, че изискванията на новата директива и посочените препоръки е необходимо да бъдат отразени в българското законодателство, след което да се преработи и предложената за обсъждане наредба. Това ще позволи в нея да има:</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w:t>
            </w:r>
            <w:r w:rsidRPr="00CA1611">
              <w:rPr>
                <w:rFonts w:ascii="Verdana" w:hAnsi="Verdana"/>
                <w:bCs/>
                <w:sz w:val="20"/>
              </w:rPr>
              <w:tab/>
              <w:t>изчерпателни критерии за домакинства в положение на енергийна бедност и уязвими клиенти;</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w:t>
            </w:r>
            <w:r w:rsidRPr="00CA1611">
              <w:rPr>
                <w:rFonts w:ascii="Verdana" w:hAnsi="Verdana"/>
                <w:bCs/>
                <w:sz w:val="20"/>
              </w:rPr>
              <w:tab/>
              <w:t>конкретен орган, който ще създаде и администрира информационната система за ДПЕБУКСЕЕ и ясен механизъм за функционирането й и правата за достъп до нея;</w:t>
            </w:r>
          </w:p>
          <w:p w:rsidR="00CA1611" w:rsidRPr="00CA1611" w:rsidRDefault="00CA1611" w:rsidP="00CA1611">
            <w:pPr>
              <w:tabs>
                <w:tab w:val="left" w:pos="346"/>
              </w:tabs>
              <w:ind w:left="62"/>
              <w:jc w:val="both"/>
              <w:rPr>
                <w:rFonts w:ascii="Verdana" w:hAnsi="Verdana"/>
                <w:bCs/>
                <w:sz w:val="20"/>
              </w:rPr>
            </w:pPr>
            <w:r w:rsidRPr="00CA1611">
              <w:rPr>
                <w:rFonts w:ascii="Verdana" w:hAnsi="Verdana"/>
                <w:bCs/>
                <w:sz w:val="20"/>
              </w:rPr>
              <w:t>•</w:t>
            </w:r>
            <w:r w:rsidRPr="00CA1611">
              <w:rPr>
                <w:rFonts w:ascii="Verdana" w:hAnsi="Verdana"/>
                <w:bCs/>
                <w:sz w:val="20"/>
              </w:rPr>
              <w:tab/>
              <w:t>прецизиране на методиката за определяне на прогнозен брой на домакинства в енергийна бедност, както и</w:t>
            </w:r>
          </w:p>
          <w:p w:rsidR="00CA1611" w:rsidRPr="001D1C86" w:rsidRDefault="00CA1611" w:rsidP="00CA1611">
            <w:pPr>
              <w:tabs>
                <w:tab w:val="left" w:pos="346"/>
              </w:tabs>
              <w:ind w:left="62"/>
              <w:jc w:val="both"/>
              <w:rPr>
                <w:rFonts w:ascii="Verdana" w:hAnsi="Verdana"/>
                <w:bCs/>
                <w:sz w:val="20"/>
              </w:rPr>
            </w:pPr>
            <w:r w:rsidRPr="00CA1611">
              <w:rPr>
                <w:rFonts w:ascii="Verdana" w:hAnsi="Verdana"/>
                <w:bCs/>
                <w:sz w:val="20"/>
              </w:rPr>
              <w:t>•</w:t>
            </w:r>
            <w:r w:rsidRPr="00CA1611">
              <w:rPr>
                <w:rFonts w:ascii="Verdana" w:hAnsi="Verdana"/>
                <w:bCs/>
                <w:sz w:val="20"/>
              </w:rPr>
              <w:tab/>
              <w:t>прецизиране на процедурата за удостоверяване на обстоятелствата за това дали домакинството е в положение на енергийна бедност.</w:t>
            </w:r>
            <w:r>
              <w:rPr>
                <w:rFonts w:ascii="Verdana" w:hAnsi="Verdana"/>
                <w:bCs/>
                <w:sz w:val="20"/>
              </w:rPr>
              <w:t xml:space="preserve"> </w:t>
            </w:r>
          </w:p>
        </w:tc>
        <w:tc>
          <w:tcPr>
            <w:tcW w:w="2333" w:type="dxa"/>
          </w:tcPr>
          <w:p w:rsidR="00CA1611" w:rsidRPr="009B2FCE" w:rsidRDefault="009B2FCE" w:rsidP="00DE4802">
            <w:pPr>
              <w:rPr>
                <w:rFonts w:ascii="Verdana" w:hAnsi="Verdana"/>
                <w:b/>
                <w:sz w:val="20"/>
                <w:lang w:val="en-US"/>
              </w:rPr>
            </w:pPr>
            <w:r>
              <w:rPr>
                <w:rFonts w:ascii="Verdana" w:hAnsi="Verdana"/>
                <w:b/>
                <w:sz w:val="20"/>
              </w:rPr>
              <w:t xml:space="preserve">Приема се частично </w:t>
            </w:r>
          </w:p>
        </w:tc>
        <w:tc>
          <w:tcPr>
            <w:tcW w:w="3687" w:type="dxa"/>
            <w:vAlign w:val="center"/>
          </w:tcPr>
          <w:p w:rsidR="00CA1611" w:rsidRDefault="00CA1611" w:rsidP="00DE4802">
            <w:pPr>
              <w:ind w:left="62"/>
              <w:jc w:val="both"/>
              <w:rPr>
                <w:rFonts w:ascii="Verdana" w:hAnsi="Verdana"/>
                <w:bCs/>
                <w:sz w:val="20"/>
              </w:rPr>
            </w:pPr>
          </w:p>
        </w:tc>
      </w:tr>
      <w:tr w:rsidR="00663A4F" w:rsidRPr="00A3405A" w:rsidTr="001023DF">
        <w:trPr>
          <w:trHeight w:val="630"/>
          <w:jc w:val="center"/>
        </w:trPr>
        <w:tc>
          <w:tcPr>
            <w:tcW w:w="2355" w:type="dxa"/>
          </w:tcPr>
          <w:p w:rsidR="00663A4F" w:rsidRPr="00663A4F" w:rsidRDefault="00663A4F" w:rsidP="00DE4802">
            <w:pPr>
              <w:jc w:val="center"/>
              <w:rPr>
                <w:rFonts w:ascii="Verdana" w:hAnsi="Verdana"/>
                <w:b/>
                <w:sz w:val="20"/>
              </w:rPr>
            </w:pPr>
            <w:r>
              <w:rPr>
                <w:rFonts w:ascii="Verdana" w:hAnsi="Verdana"/>
                <w:b/>
                <w:sz w:val="20"/>
                <w:lang w:val="en-US"/>
              </w:rPr>
              <w:t xml:space="preserve">WWF </w:t>
            </w:r>
          </w:p>
        </w:tc>
        <w:tc>
          <w:tcPr>
            <w:tcW w:w="7705" w:type="dxa"/>
          </w:tcPr>
          <w:p w:rsidR="00663A4F" w:rsidRPr="00663A4F" w:rsidRDefault="00663A4F" w:rsidP="00663A4F">
            <w:pPr>
              <w:tabs>
                <w:tab w:val="left" w:pos="346"/>
              </w:tabs>
              <w:ind w:left="62"/>
              <w:jc w:val="both"/>
              <w:rPr>
                <w:rFonts w:ascii="Verdana" w:hAnsi="Verdana"/>
                <w:bCs/>
                <w:sz w:val="20"/>
              </w:rPr>
            </w:pPr>
            <w:r>
              <w:rPr>
                <w:rFonts w:ascii="Verdana" w:hAnsi="Verdana"/>
                <w:bCs/>
                <w:sz w:val="20"/>
              </w:rPr>
              <w:t>Посочва се, че липсва</w:t>
            </w:r>
            <w:r w:rsidRPr="00663A4F">
              <w:rPr>
                <w:rFonts w:ascii="Verdana" w:hAnsi="Verdana"/>
                <w:bCs/>
                <w:sz w:val="20"/>
              </w:rPr>
              <w:t xml:space="preserve"> ясно регламентиран компетентен орган за създаване и управление на информационната система за ДПЕБУКСЕЕ, като за отговорна институция е определена тази, която ще разработва Националния социален климатичен план в чл.11 (1). Такава институция в момента няма. Решението да не се определя такава сега, при приемането на Наредбата, ще доведе до критично забавяне на процеса на създаване на информационна система. Това означава</w:t>
            </w:r>
            <w:r>
              <w:rPr>
                <w:rFonts w:ascii="Verdana" w:hAnsi="Verdana"/>
                <w:bCs/>
                <w:sz w:val="20"/>
              </w:rPr>
              <w:t>,</w:t>
            </w:r>
            <w:r w:rsidRPr="00663A4F">
              <w:rPr>
                <w:rFonts w:ascii="Verdana" w:hAnsi="Verdana"/>
                <w:bCs/>
                <w:sz w:val="20"/>
              </w:rPr>
              <w:t xml:space="preserve"> че всички мерки свързани с приоритетното финансиране на</w:t>
            </w:r>
            <w:r>
              <w:rPr>
                <w:rFonts w:ascii="Verdana" w:hAnsi="Verdana"/>
                <w:bCs/>
                <w:sz w:val="20"/>
              </w:rPr>
              <w:t xml:space="preserve"> енергийно бедните домакинства,</w:t>
            </w:r>
            <w:r w:rsidRPr="00663A4F">
              <w:rPr>
                <w:rFonts w:ascii="Verdana" w:hAnsi="Verdana"/>
                <w:bCs/>
                <w:sz w:val="20"/>
              </w:rPr>
              <w:t xml:space="preserve">включително втората фаза на Програмата за жилищно обновяване на многофамилни сгради и последващите фази на схемата за подкрепа на домакинствата в областта на възобновяеми източници на енергия, както и всички програми по програмата за „Чист атмосферен въздух" или други финансови инструменти, няма да се прилагат целево. </w:t>
            </w:r>
            <w:r>
              <w:rPr>
                <w:rFonts w:ascii="Verdana" w:hAnsi="Verdana"/>
                <w:bCs/>
                <w:sz w:val="20"/>
              </w:rPr>
              <w:t>Изразени са</w:t>
            </w:r>
            <w:r w:rsidRPr="00663A4F">
              <w:rPr>
                <w:rFonts w:ascii="Verdana" w:hAnsi="Verdana"/>
                <w:bCs/>
                <w:sz w:val="20"/>
              </w:rPr>
              <w:t xml:space="preserve"> сериозни притеснения, че те отново ще предоставят или 100% грант на всички домакинства, включително и високо доходни, или ще изискват първоначална инвестиция, с което ще изключат енергийно бедните домакинства от достъп до подкрепа.</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 xml:space="preserve">Този подход е в пряко нарушение на принципа „Да не се изоставя никой", заложен в основата на цялостната философия на Европейската зелена сделка и показва явна липса на действия за привеждане на механизма за защита на енергийно бедни домакинства и уязвими клиенти в действие. Липсата на компетентен орган, както и забавянето на разработката на механизма по същество не изпълнява реформата по Плана за възстановяване и устойчивост (ПВУ), създавайки риск неосъществената реформа да бламира цялостното изпълнение на енергийните реформи по плана. </w:t>
            </w:r>
            <w:r>
              <w:rPr>
                <w:rFonts w:ascii="Verdana" w:hAnsi="Verdana"/>
                <w:bCs/>
                <w:sz w:val="20"/>
              </w:rPr>
              <w:t>Посоченото обстоятелство</w:t>
            </w:r>
            <w:r w:rsidRPr="00663A4F">
              <w:rPr>
                <w:rFonts w:ascii="Verdana" w:hAnsi="Verdana"/>
                <w:bCs/>
                <w:sz w:val="20"/>
              </w:rPr>
              <w:t xml:space="preserve"> ще бъде отбелязано от Европейската комисия и не </w:t>
            </w:r>
            <w:r>
              <w:rPr>
                <w:rFonts w:ascii="Verdana" w:hAnsi="Verdana"/>
                <w:bCs/>
                <w:sz w:val="20"/>
              </w:rPr>
              <w:t>бива да се допуска. Препоръчва се</w:t>
            </w:r>
            <w:r w:rsidRPr="00663A4F">
              <w:rPr>
                <w:rFonts w:ascii="Verdana" w:hAnsi="Verdana"/>
                <w:bCs/>
                <w:sz w:val="20"/>
              </w:rPr>
              <w:t xml:space="preserve"> Наредбата да делегира ясно към министерство и компетентна дирекция, отговорността да инициира изготвянето на Социалния климатичен план.</w:t>
            </w:r>
          </w:p>
          <w:p w:rsidR="00663A4F" w:rsidRDefault="00663A4F" w:rsidP="00663A4F">
            <w:pPr>
              <w:tabs>
                <w:tab w:val="left" w:pos="346"/>
              </w:tabs>
              <w:ind w:left="62"/>
              <w:jc w:val="both"/>
              <w:rPr>
                <w:rFonts w:ascii="Verdana" w:hAnsi="Verdana"/>
                <w:bCs/>
                <w:sz w:val="20"/>
              </w:rPr>
            </w:pPr>
            <w:r w:rsidRPr="00663A4F">
              <w:rPr>
                <w:rFonts w:ascii="Verdana" w:hAnsi="Verdana"/>
                <w:bCs/>
                <w:sz w:val="20"/>
              </w:rPr>
              <w:t>Предложение 1: Включване на името на дирекцията или министерството</w:t>
            </w:r>
            <w:r>
              <w:rPr>
                <w:rFonts w:ascii="Verdana" w:hAnsi="Verdana"/>
                <w:bCs/>
                <w:sz w:val="20"/>
              </w:rPr>
              <w:t>,</w:t>
            </w:r>
            <w:r w:rsidRPr="00663A4F">
              <w:rPr>
                <w:rFonts w:ascii="Verdana" w:hAnsi="Verdana"/>
                <w:bCs/>
                <w:sz w:val="20"/>
              </w:rPr>
              <w:t xml:space="preserve"> отговорно </w:t>
            </w:r>
            <w:r>
              <w:rPr>
                <w:rFonts w:ascii="Verdana" w:hAnsi="Verdana"/>
                <w:bCs/>
                <w:sz w:val="20"/>
              </w:rPr>
              <w:t>за</w:t>
            </w:r>
            <w:r w:rsidRPr="00663A4F">
              <w:rPr>
                <w:rFonts w:ascii="Verdana" w:hAnsi="Verdana"/>
                <w:bCs/>
                <w:sz w:val="20"/>
              </w:rPr>
              <w:t xml:space="preserve"> разработване на Националния социален климатичен план </w:t>
            </w:r>
            <w:r>
              <w:rPr>
                <w:rFonts w:ascii="Verdana" w:hAnsi="Verdana"/>
                <w:bCs/>
                <w:sz w:val="20"/>
              </w:rPr>
              <w:t xml:space="preserve">сега в чл. 11, при приемане на </w:t>
            </w:r>
            <w:r w:rsidRPr="00663A4F">
              <w:rPr>
                <w:rFonts w:ascii="Verdana" w:hAnsi="Verdana"/>
                <w:bCs/>
                <w:sz w:val="20"/>
              </w:rPr>
              <w:t>Наредбата за ДПЕБУКСЕЕ.</w:t>
            </w:r>
            <w:r w:rsidRPr="00663A4F">
              <w:rPr>
                <w:rFonts w:ascii="Verdana" w:hAnsi="Verdana"/>
                <w:bCs/>
                <w:sz w:val="20"/>
              </w:rPr>
              <w:tab/>
            </w:r>
            <w:r w:rsidRPr="00663A4F">
              <w:rPr>
                <w:rFonts w:ascii="Verdana" w:hAnsi="Verdana"/>
                <w:bCs/>
                <w:sz w:val="20"/>
              </w:rPr>
              <w:tab/>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 xml:space="preserve">На второ място, в Глава четвърта не е ясно разписан редът и механизмът за функциониране на информационната система за ДПЕБУКСЕЕ. </w:t>
            </w:r>
            <w:r>
              <w:rPr>
                <w:rFonts w:ascii="Verdana" w:hAnsi="Verdana"/>
                <w:bCs/>
                <w:sz w:val="20"/>
              </w:rPr>
              <w:t>Посочват се</w:t>
            </w:r>
            <w:r w:rsidRPr="00663A4F">
              <w:rPr>
                <w:rFonts w:ascii="Verdana" w:hAnsi="Verdana"/>
                <w:bCs/>
                <w:sz w:val="20"/>
              </w:rPr>
              <w:t xml:space="preserve"> следните пропуски:</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1.</w:t>
            </w:r>
            <w:r w:rsidRPr="00663A4F">
              <w:rPr>
                <w:rFonts w:ascii="Verdana" w:hAnsi="Verdana"/>
                <w:bCs/>
                <w:sz w:val="20"/>
              </w:rPr>
              <w:tab/>
              <w:t>Няма ясно определено място, електронна платформа, сайт или дори вид на организацията, която ще приема заявления за определяне на статут.</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2.</w:t>
            </w:r>
            <w:r w:rsidRPr="00663A4F">
              <w:rPr>
                <w:rFonts w:ascii="Verdana" w:hAnsi="Verdana"/>
                <w:bCs/>
                <w:sz w:val="20"/>
              </w:rPr>
              <w:tab/>
              <w:t>Няма ясно разписани права на достъп до информационната система за ДПЕБУКСЕЕ, като в чл. 14 и ап. (3) на чл. 11 се казва, че това става с процедура, определена от несъществуващия орган по ал.(1).</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 xml:space="preserve">Предложение 2: Добавяне на процедура от опредлената отговорна институция за функциониране на информационната състема към Глава четвърта на Наредбата преди приемането й. </w:t>
            </w:r>
            <w:r w:rsidRPr="00663A4F">
              <w:rPr>
                <w:rFonts w:ascii="Verdana" w:hAnsi="Verdana"/>
                <w:bCs/>
                <w:sz w:val="20"/>
              </w:rPr>
              <w:tab/>
            </w:r>
            <w:r w:rsidRPr="00663A4F">
              <w:rPr>
                <w:rFonts w:ascii="Verdana" w:hAnsi="Verdana"/>
                <w:bCs/>
                <w:sz w:val="20"/>
              </w:rPr>
              <w:tab/>
              <w:t xml:space="preserve"> </w:t>
            </w:r>
            <w:r w:rsidRPr="00663A4F">
              <w:rPr>
                <w:rFonts w:ascii="Verdana" w:hAnsi="Verdana"/>
                <w:bCs/>
                <w:sz w:val="20"/>
              </w:rPr>
              <w:tab/>
            </w:r>
            <w:r w:rsidRPr="00663A4F">
              <w:rPr>
                <w:rFonts w:ascii="Verdana" w:hAnsi="Verdana"/>
                <w:bCs/>
                <w:sz w:val="20"/>
              </w:rPr>
              <w:tab/>
            </w:r>
            <w:r w:rsidRPr="00663A4F">
              <w:rPr>
                <w:rFonts w:ascii="Verdana" w:hAnsi="Verdana"/>
                <w:bCs/>
                <w:sz w:val="20"/>
              </w:rPr>
              <w:tab/>
              <w:t xml:space="preserve"> </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На трето място, не са ясно регламентирани мерките за всяка група по чл.З (1) и (2). Не</w:t>
            </w:r>
            <w:r>
              <w:rPr>
                <w:rFonts w:ascii="Verdana" w:hAnsi="Verdana"/>
                <w:bCs/>
                <w:sz w:val="20"/>
              </w:rPr>
              <w:t xml:space="preserve"> </w:t>
            </w:r>
            <w:r w:rsidRPr="00663A4F">
              <w:rPr>
                <w:rFonts w:ascii="Verdana" w:hAnsi="Verdana"/>
                <w:bCs/>
                <w:sz w:val="20"/>
              </w:rPr>
              <w:t>се разбира кой вид подкрепа ще бъде за едната група, и кой за другата. Подкрепата може да е за компенсации за електроенергия в условията на свободен пазар, и за облекчен достъп до финансиране при програми за енергийна ефективност, възобновяема енергия, отоплителни/охладителни системи и оборудване. Не се разбира принципът, на който се избира по-тясната или по-широката група.</w:t>
            </w:r>
          </w:p>
          <w:p w:rsidR="00663A4F" w:rsidRPr="00663A4F" w:rsidRDefault="00663A4F" w:rsidP="00663A4F">
            <w:pPr>
              <w:tabs>
                <w:tab w:val="left" w:pos="346"/>
              </w:tabs>
              <w:ind w:left="62"/>
              <w:jc w:val="both"/>
              <w:rPr>
                <w:rFonts w:ascii="Verdana" w:hAnsi="Verdana"/>
                <w:bCs/>
                <w:sz w:val="20"/>
              </w:rPr>
            </w:pPr>
            <w:r>
              <w:rPr>
                <w:rFonts w:ascii="Verdana" w:hAnsi="Verdana"/>
                <w:bCs/>
                <w:sz w:val="20"/>
              </w:rPr>
              <w:t>П</w:t>
            </w:r>
            <w:r w:rsidRPr="00663A4F">
              <w:rPr>
                <w:rFonts w:ascii="Verdana" w:hAnsi="Verdana"/>
                <w:bCs/>
                <w:sz w:val="20"/>
              </w:rPr>
              <w:t>редложение 3: Да се добави отделен член или глава за определяне на мерките към всяка отделна група по чл. З (1) и (2), като най-малко се изясни при</w:t>
            </w:r>
            <w:r>
              <w:rPr>
                <w:rFonts w:ascii="Verdana" w:hAnsi="Verdana"/>
                <w:bCs/>
                <w:sz w:val="20"/>
              </w:rPr>
              <w:t xml:space="preserve">нципът, по който се определя </w:t>
            </w:r>
            <w:r w:rsidRPr="00663A4F">
              <w:rPr>
                <w:rFonts w:ascii="Verdana" w:hAnsi="Verdana"/>
                <w:bCs/>
                <w:sz w:val="20"/>
              </w:rPr>
              <w:t>подкрепата за компенсации в условията на свободен пазар на електроенергия, и при програми за дъгосрочни мерки за извеждане от енергийна бедност.</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На четвърто място, обхвата на уязвимите клиенти по ал.2</w:t>
            </w:r>
            <w:r>
              <w:rPr>
                <w:rFonts w:ascii="Verdana" w:hAnsi="Verdana"/>
                <w:bCs/>
                <w:sz w:val="20"/>
              </w:rPr>
              <w:t xml:space="preserve"> се определя като</w:t>
            </w:r>
            <w:r w:rsidRPr="00663A4F">
              <w:rPr>
                <w:rFonts w:ascii="Verdana" w:hAnsi="Verdana"/>
                <w:bCs/>
                <w:sz w:val="20"/>
              </w:rPr>
              <w:t xml:space="preserve"> много тесен, по-тесен дори от този на енергийно бедните домакинства в т.1. Това е сериозен проблем, в случай, че уязвимите клиенти са групата, която ще се подкрепя в условията на свободен пазар на електроенергия. Същевременно, липсва имотен критерий при определянето на статут. В тези условия, уязвимите клиенти би трябвало да са възможно по-широк кръг, което може да стане по следния начин:</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Предложение 4: Да се включи изрично уточнение в де</w:t>
            </w:r>
            <w:r>
              <w:rPr>
                <w:rFonts w:ascii="Verdana" w:hAnsi="Verdana"/>
                <w:bCs/>
                <w:sz w:val="20"/>
              </w:rPr>
              <w:t>финицията, че уязвим клиент е и</w:t>
            </w:r>
            <w:r w:rsidRPr="00663A4F">
              <w:rPr>
                <w:rFonts w:ascii="Verdana" w:hAnsi="Verdana"/>
                <w:bCs/>
                <w:sz w:val="20"/>
              </w:rPr>
              <w:t xml:space="preserve"> битов клиент, в чийто обект, снабдяван с електриче</w:t>
            </w:r>
            <w:r>
              <w:rPr>
                <w:rFonts w:ascii="Verdana" w:hAnsi="Verdana"/>
                <w:bCs/>
                <w:sz w:val="20"/>
              </w:rPr>
              <w:t>ска енергия живеят и членове на</w:t>
            </w:r>
            <w:r w:rsidRPr="00663A4F">
              <w:rPr>
                <w:rFonts w:ascii="Verdana" w:hAnsi="Verdana"/>
                <w:bCs/>
                <w:sz w:val="20"/>
              </w:rPr>
              <w:t xml:space="preserve"> енергийно бедни домакинства.</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Предложение 5: Да се премахне дохо</w:t>
            </w:r>
            <w:r>
              <w:rPr>
                <w:rFonts w:ascii="Verdana" w:hAnsi="Verdana"/>
                <w:bCs/>
                <w:sz w:val="20"/>
              </w:rPr>
              <w:t>дния критерий от възрастовия и з</w:t>
            </w:r>
            <w:r w:rsidRPr="00663A4F">
              <w:rPr>
                <w:rFonts w:ascii="Verdana" w:hAnsi="Verdana"/>
                <w:bCs/>
                <w:sz w:val="20"/>
              </w:rPr>
              <w:t>дравословния критерий в т.1 и т.2 на ал.(2) на чл</w:t>
            </w:r>
            <w:r>
              <w:rPr>
                <w:rFonts w:ascii="Verdana" w:hAnsi="Verdana"/>
                <w:bCs/>
                <w:sz w:val="20"/>
              </w:rPr>
              <w:t xml:space="preserve">. 3, като се изтрие текстът „с </w:t>
            </w:r>
            <w:r w:rsidRPr="00663A4F">
              <w:rPr>
                <w:rFonts w:ascii="Verdana" w:hAnsi="Verdana"/>
                <w:bCs/>
                <w:sz w:val="20"/>
              </w:rPr>
              <w:t>разполагаем доход по чл. 5, ал. 1 след намаляване с р</w:t>
            </w:r>
            <w:r>
              <w:rPr>
                <w:rFonts w:ascii="Verdana" w:hAnsi="Verdana"/>
                <w:bCs/>
                <w:sz w:val="20"/>
              </w:rPr>
              <w:t xml:space="preserve">азхода за енергия по-малък или </w:t>
            </w:r>
            <w:r w:rsidRPr="00663A4F">
              <w:rPr>
                <w:rFonts w:ascii="Verdana" w:hAnsi="Verdana"/>
                <w:bCs/>
                <w:sz w:val="20"/>
              </w:rPr>
              <w:t>равен на официално обявената линия на бедност;"</w:t>
            </w:r>
          </w:p>
          <w:p w:rsidR="00A5428F" w:rsidRDefault="00663A4F" w:rsidP="00663A4F">
            <w:pPr>
              <w:tabs>
                <w:tab w:val="left" w:pos="346"/>
              </w:tabs>
              <w:ind w:left="62"/>
              <w:jc w:val="both"/>
              <w:rPr>
                <w:rFonts w:ascii="Verdana" w:hAnsi="Verdana"/>
                <w:bCs/>
                <w:sz w:val="20"/>
              </w:rPr>
            </w:pPr>
            <w:r w:rsidRPr="00663A4F">
              <w:rPr>
                <w:rFonts w:ascii="Verdana" w:hAnsi="Verdana"/>
                <w:bCs/>
                <w:sz w:val="20"/>
              </w:rPr>
              <w:t xml:space="preserve">Предложение 6: Да се промени определянето на статут по чл.12 в глава четвърта да се извършва на тримесечие, а не ежегодно, когато става въпрос за компенсации на </w:t>
            </w:r>
            <w:r w:rsidR="00A5428F">
              <w:rPr>
                <w:rFonts w:ascii="Verdana" w:hAnsi="Verdana"/>
                <w:bCs/>
                <w:sz w:val="20"/>
              </w:rPr>
              <w:t xml:space="preserve">електроенергия. </w:t>
            </w:r>
            <w:r w:rsidRPr="00663A4F">
              <w:rPr>
                <w:rFonts w:ascii="Verdana" w:hAnsi="Verdana"/>
                <w:bCs/>
                <w:sz w:val="20"/>
              </w:rPr>
              <w:t xml:space="preserve"> </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Предложение 7: Цената, включена във Приложението к</w:t>
            </w:r>
            <w:r>
              <w:rPr>
                <w:rFonts w:ascii="Verdana" w:hAnsi="Verdana"/>
                <w:bCs/>
                <w:sz w:val="20"/>
              </w:rPr>
              <w:t>ъм Наредбата, да се определя не</w:t>
            </w:r>
            <w:r w:rsidRPr="00663A4F">
              <w:rPr>
                <w:rFonts w:ascii="Verdana" w:hAnsi="Verdana"/>
                <w:bCs/>
                <w:sz w:val="20"/>
              </w:rPr>
              <w:t xml:space="preserve"> за предходна година, а за последно тримесечие къ</w:t>
            </w:r>
            <w:r>
              <w:rPr>
                <w:rFonts w:ascii="Verdana" w:hAnsi="Verdana"/>
                <w:bCs/>
                <w:sz w:val="20"/>
              </w:rPr>
              <w:t xml:space="preserve">м началната дата на обявената </w:t>
            </w:r>
            <w:r w:rsidRPr="00663A4F">
              <w:rPr>
                <w:rFonts w:ascii="Verdana" w:hAnsi="Verdana"/>
                <w:bCs/>
                <w:sz w:val="20"/>
              </w:rPr>
              <w:t xml:space="preserve">програма или схема за компенсиране/дългосрочни мерки. </w:t>
            </w:r>
            <w:r w:rsidRPr="00663A4F">
              <w:rPr>
                <w:rFonts w:ascii="Verdana" w:hAnsi="Verdana"/>
                <w:bCs/>
                <w:sz w:val="20"/>
              </w:rPr>
              <w:tab/>
              <w:t xml:space="preserve"> </w:t>
            </w:r>
            <w:r w:rsidRPr="00663A4F">
              <w:rPr>
                <w:rFonts w:ascii="Verdana" w:hAnsi="Verdana"/>
                <w:bCs/>
                <w:sz w:val="20"/>
              </w:rPr>
              <w:tab/>
            </w:r>
            <w:r w:rsidRPr="00663A4F">
              <w:rPr>
                <w:rFonts w:ascii="Verdana" w:hAnsi="Verdana"/>
                <w:bCs/>
                <w:sz w:val="20"/>
              </w:rPr>
              <w:tab/>
            </w:r>
          </w:p>
          <w:p w:rsidR="00663A4F" w:rsidRPr="00663A4F" w:rsidRDefault="00A5428F" w:rsidP="00663A4F">
            <w:pPr>
              <w:tabs>
                <w:tab w:val="left" w:pos="346"/>
              </w:tabs>
              <w:ind w:left="62"/>
              <w:jc w:val="both"/>
              <w:rPr>
                <w:rFonts w:ascii="Verdana" w:hAnsi="Verdana"/>
                <w:bCs/>
                <w:sz w:val="20"/>
              </w:rPr>
            </w:pPr>
            <w:r>
              <w:rPr>
                <w:rFonts w:ascii="Verdana" w:hAnsi="Verdana"/>
                <w:bCs/>
                <w:sz w:val="20"/>
              </w:rPr>
              <w:t>На пето място, счита се</w:t>
            </w:r>
            <w:r w:rsidR="00663A4F" w:rsidRPr="00663A4F">
              <w:rPr>
                <w:rFonts w:ascii="Verdana" w:hAnsi="Verdana"/>
                <w:bCs/>
                <w:sz w:val="20"/>
              </w:rPr>
              <w:t>, че прогнозният/очакваният брой на енергийно бедните домакинства в Република България трябва да се публикува заедно с прогнозният брой на уязвимите клиенти, като освен начинът по чл.16, се добавят и други допълнителни индикатори за измерване, по индикатори на Евростат, и включително чрез оценка на информационната система от глава четвърта.</w:t>
            </w:r>
          </w:p>
          <w:p w:rsidR="00663A4F" w:rsidRPr="00663A4F" w:rsidRDefault="00663A4F" w:rsidP="00663A4F">
            <w:pPr>
              <w:tabs>
                <w:tab w:val="left" w:pos="346"/>
              </w:tabs>
              <w:ind w:left="62"/>
              <w:jc w:val="both"/>
              <w:rPr>
                <w:rFonts w:ascii="Verdana" w:hAnsi="Verdana"/>
                <w:bCs/>
                <w:sz w:val="20"/>
              </w:rPr>
            </w:pPr>
            <w:r w:rsidRPr="00663A4F">
              <w:rPr>
                <w:rFonts w:ascii="Verdana" w:hAnsi="Verdana"/>
                <w:bCs/>
                <w:sz w:val="20"/>
              </w:rPr>
              <w:t xml:space="preserve">Предложение 8: Добавяне на нов член за допълнителни индикатори </w:t>
            </w:r>
            <w:r>
              <w:rPr>
                <w:rFonts w:ascii="Verdana" w:hAnsi="Verdana"/>
                <w:bCs/>
                <w:sz w:val="20"/>
              </w:rPr>
              <w:t xml:space="preserve">към чл.16 и за </w:t>
            </w:r>
            <w:r w:rsidRPr="00663A4F">
              <w:rPr>
                <w:rFonts w:ascii="Verdana" w:hAnsi="Verdana"/>
                <w:bCs/>
                <w:sz w:val="20"/>
              </w:rPr>
              <w:t xml:space="preserve">прогнозен брой на уязвимите клиенти, както и промяна на текстовете за оценка на </w:t>
            </w:r>
            <w:r w:rsidRPr="00663A4F">
              <w:rPr>
                <w:rFonts w:ascii="Verdana" w:hAnsi="Verdana" w:cs="Verdana"/>
                <w:bCs/>
                <w:sz w:val="20"/>
              </w:rPr>
              <w:t xml:space="preserve">очаквания </w:t>
            </w:r>
            <w:r w:rsidRPr="00663A4F">
              <w:rPr>
                <w:rFonts w:ascii="Verdana" w:hAnsi="Verdana"/>
                <w:bCs/>
                <w:sz w:val="20"/>
              </w:rPr>
              <w:t>бр</w:t>
            </w:r>
            <w:r w:rsidRPr="00663A4F">
              <w:rPr>
                <w:rFonts w:ascii="Verdana" w:hAnsi="Verdana" w:cs="Verdana"/>
                <w:bCs/>
                <w:sz w:val="20"/>
              </w:rPr>
              <w:t>ой</w:t>
            </w:r>
            <w:r w:rsidRPr="00663A4F">
              <w:rPr>
                <w:rFonts w:ascii="Verdana" w:hAnsi="Verdana"/>
                <w:bCs/>
                <w:sz w:val="20"/>
              </w:rPr>
              <w:t xml:space="preserve"> </w:t>
            </w:r>
            <w:r w:rsidRPr="00663A4F">
              <w:rPr>
                <w:rFonts w:ascii="Verdana" w:hAnsi="Verdana" w:cs="Verdana"/>
                <w:bCs/>
                <w:sz w:val="20"/>
              </w:rPr>
              <w:t>домакинства</w:t>
            </w:r>
            <w:r w:rsidRPr="00663A4F">
              <w:rPr>
                <w:rFonts w:ascii="Verdana" w:hAnsi="Verdana"/>
                <w:bCs/>
                <w:sz w:val="20"/>
              </w:rPr>
              <w:t xml:space="preserve"> </w:t>
            </w:r>
            <w:r w:rsidRPr="00663A4F">
              <w:rPr>
                <w:rFonts w:ascii="Verdana" w:hAnsi="Verdana" w:cs="Verdana"/>
                <w:bCs/>
                <w:sz w:val="20"/>
              </w:rPr>
              <w:t>в</w:t>
            </w:r>
            <w:r w:rsidRPr="00663A4F">
              <w:rPr>
                <w:rFonts w:ascii="Verdana" w:hAnsi="Verdana"/>
                <w:bCs/>
                <w:sz w:val="20"/>
              </w:rPr>
              <w:t xml:space="preserve"> </w:t>
            </w:r>
            <w:r w:rsidRPr="00663A4F">
              <w:rPr>
                <w:rFonts w:ascii="Verdana" w:hAnsi="Verdana" w:cs="Verdana"/>
                <w:bCs/>
                <w:sz w:val="20"/>
              </w:rPr>
              <w:t>чл</w:t>
            </w:r>
            <w:r w:rsidRPr="00663A4F">
              <w:rPr>
                <w:rFonts w:ascii="Verdana" w:hAnsi="Verdana"/>
                <w:bCs/>
                <w:sz w:val="20"/>
              </w:rPr>
              <w:t xml:space="preserve">.18 </w:t>
            </w:r>
            <w:r w:rsidRPr="00663A4F">
              <w:rPr>
                <w:rFonts w:ascii="Verdana" w:hAnsi="Verdana" w:cs="Verdana"/>
                <w:bCs/>
                <w:sz w:val="20"/>
              </w:rPr>
              <w:t>и</w:t>
            </w:r>
            <w:r w:rsidRPr="00663A4F">
              <w:rPr>
                <w:rFonts w:ascii="Verdana" w:hAnsi="Verdana"/>
                <w:bCs/>
                <w:sz w:val="20"/>
              </w:rPr>
              <w:t xml:space="preserve"> чл.19.</w:t>
            </w:r>
          </w:p>
        </w:tc>
        <w:tc>
          <w:tcPr>
            <w:tcW w:w="2333" w:type="dxa"/>
          </w:tcPr>
          <w:p w:rsidR="00663A4F" w:rsidRDefault="00A5428F" w:rsidP="00DE4802">
            <w:pPr>
              <w:rPr>
                <w:rFonts w:ascii="Verdana" w:hAnsi="Verdana"/>
                <w:b/>
                <w:sz w:val="20"/>
              </w:rPr>
            </w:pPr>
            <w:r>
              <w:rPr>
                <w:rFonts w:ascii="Verdana" w:hAnsi="Verdana"/>
                <w:b/>
                <w:sz w:val="20"/>
              </w:rPr>
              <w:t xml:space="preserve">Приема се частично </w:t>
            </w:r>
          </w:p>
        </w:tc>
        <w:tc>
          <w:tcPr>
            <w:tcW w:w="3687" w:type="dxa"/>
            <w:vAlign w:val="center"/>
          </w:tcPr>
          <w:p w:rsidR="00663A4F" w:rsidRDefault="00663A4F" w:rsidP="00DE4802">
            <w:pPr>
              <w:ind w:left="62"/>
              <w:jc w:val="both"/>
              <w:rPr>
                <w:rFonts w:ascii="Verdana" w:hAnsi="Verdana"/>
                <w:bCs/>
                <w:sz w:val="20"/>
              </w:rPr>
            </w:pPr>
          </w:p>
        </w:tc>
      </w:tr>
    </w:tbl>
    <w:p w:rsidR="00282A82" w:rsidRPr="00A3405A" w:rsidRDefault="00282A82" w:rsidP="00B126E7">
      <w:pPr>
        <w:jc w:val="center"/>
        <w:rPr>
          <w:rFonts w:ascii="Verdana" w:hAnsi="Verdana"/>
          <w:sz w:val="20"/>
        </w:rPr>
      </w:pPr>
    </w:p>
    <w:sectPr w:rsidR="00282A82" w:rsidRPr="00A3405A" w:rsidSect="006C4193">
      <w:headerReference w:type="even" r:id="rId7"/>
      <w:footerReference w:type="default" r:id="rId8"/>
      <w:footerReference w:type="first" r:id="rId9"/>
      <w:pgSz w:w="16840" w:h="11907" w:orient="landscape" w:code="9"/>
      <w:pgMar w:top="567" w:right="822" w:bottom="426" w:left="85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703D" w:rsidRDefault="005C703D">
      <w:r>
        <w:separator/>
      </w:r>
    </w:p>
  </w:endnote>
  <w:endnote w:type="continuationSeparator" w:id="0">
    <w:p w:rsidR="005C703D" w:rsidRDefault="005C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bar">
    <w:altName w:val="Corbel"/>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2A23" w:rsidRDefault="004E2A23" w:rsidP="00AF136F">
    <w:pPr>
      <w:pStyle w:val="a7"/>
      <w:jc w:val="right"/>
    </w:pPr>
    <w:r>
      <w:rPr>
        <w:rStyle w:val="a5"/>
      </w:rPr>
      <w:fldChar w:fldCharType="begin"/>
    </w:r>
    <w:r>
      <w:rPr>
        <w:rStyle w:val="a5"/>
      </w:rPr>
      <w:instrText xml:space="preserve"> PAGE </w:instrText>
    </w:r>
    <w:r>
      <w:rPr>
        <w:rStyle w:val="a5"/>
      </w:rPr>
      <w:fldChar w:fldCharType="separate"/>
    </w:r>
    <w:r w:rsidR="000C28D1">
      <w:rPr>
        <w:rStyle w:val="a5"/>
        <w:noProof/>
      </w:rPr>
      <w:t>12</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2A23" w:rsidRDefault="004E2A23">
    <w:pPr>
      <w:pStyle w:val="a7"/>
      <w:jc w:val="right"/>
    </w:pPr>
    <w:r>
      <w:fldChar w:fldCharType="begin"/>
    </w:r>
    <w:r>
      <w:instrText xml:space="preserve"> PAGE   \* MERGEFORMAT </w:instrText>
    </w:r>
    <w:r>
      <w:fldChar w:fldCharType="separate"/>
    </w:r>
    <w:r w:rsidR="000C28D1">
      <w:rPr>
        <w:noProof/>
      </w:rPr>
      <w:t>1</w:t>
    </w:r>
    <w:r>
      <w:rPr>
        <w:noProof/>
      </w:rPr>
      <w:fldChar w:fldCharType="end"/>
    </w:r>
  </w:p>
  <w:p w:rsidR="004E2A23" w:rsidRDefault="004E2A2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703D" w:rsidRDefault="005C703D">
      <w:r>
        <w:separator/>
      </w:r>
    </w:p>
  </w:footnote>
  <w:footnote w:type="continuationSeparator" w:id="0">
    <w:p w:rsidR="005C703D" w:rsidRDefault="005C7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2A23" w:rsidRDefault="004E2A2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4E2A23" w:rsidRDefault="004E2A2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70931"/>
    <w:multiLevelType w:val="hybridMultilevel"/>
    <w:tmpl w:val="A7342426"/>
    <w:lvl w:ilvl="0" w:tplc="0402000F">
      <w:start w:val="1"/>
      <w:numFmt w:val="decimal"/>
      <w:lvlText w:val="%1."/>
      <w:lvlJc w:val="left"/>
      <w:pPr>
        <w:tabs>
          <w:tab w:val="num" w:pos="795"/>
        </w:tabs>
        <w:ind w:left="795" w:hanging="360"/>
      </w:pPr>
    </w:lvl>
    <w:lvl w:ilvl="1" w:tplc="04020019" w:tentative="1">
      <w:start w:val="1"/>
      <w:numFmt w:val="lowerLetter"/>
      <w:lvlText w:val="%2."/>
      <w:lvlJc w:val="left"/>
      <w:pPr>
        <w:tabs>
          <w:tab w:val="num" w:pos="1515"/>
        </w:tabs>
        <w:ind w:left="1515" w:hanging="360"/>
      </w:pPr>
    </w:lvl>
    <w:lvl w:ilvl="2" w:tplc="0402001B" w:tentative="1">
      <w:start w:val="1"/>
      <w:numFmt w:val="lowerRoman"/>
      <w:lvlText w:val="%3."/>
      <w:lvlJc w:val="right"/>
      <w:pPr>
        <w:tabs>
          <w:tab w:val="num" w:pos="2235"/>
        </w:tabs>
        <w:ind w:left="2235" w:hanging="180"/>
      </w:pPr>
    </w:lvl>
    <w:lvl w:ilvl="3" w:tplc="0402000F" w:tentative="1">
      <w:start w:val="1"/>
      <w:numFmt w:val="decimal"/>
      <w:lvlText w:val="%4."/>
      <w:lvlJc w:val="left"/>
      <w:pPr>
        <w:tabs>
          <w:tab w:val="num" w:pos="2955"/>
        </w:tabs>
        <w:ind w:left="2955" w:hanging="360"/>
      </w:pPr>
    </w:lvl>
    <w:lvl w:ilvl="4" w:tplc="04020019" w:tentative="1">
      <w:start w:val="1"/>
      <w:numFmt w:val="lowerLetter"/>
      <w:lvlText w:val="%5."/>
      <w:lvlJc w:val="left"/>
      <w:pPr>
        <w:tabs>
          <w:tab w:val="num" w:pos="3675"/>
        </w:tabs>
        <w:ind w:left="3675" w:hanging="360"/>
      </w:pPr>
    </w:lvl>
    <w:lvl w:ilvl="5" w:tplc="0402001B" w:tentative="1">
      <w:start w:val="1"/>
      <w:numFmt w:val="lowerRoman"/>
      <w:lvlText w:val="%6."/>
      <w:lvlJc w:val="right"/>
      <w:pPr>
        <w:tabs>
          <w:tab w:val="num" w:pos="4395"/>
        </w:tabs>
        <w:ind w:left="4395" w:hanging="180"/>
      </w:pPr>
    </w:lvl>
    <w:lvl w:ilvl="6" w:tplc="0402000F" w:tentative="1">
      <w:start w:val="1"/>
      <w:numFmt w:val="decimal"/>
      <w:lvlText w:val="%7."/>
      <w:lvlJc w:val="left"/>
      <w:pPr>
        <w:tabs>
          <w:tab w:val="num" w:pos="5115"/>
        </w:tabs>
        <w:ind w:left="5115" w:hanging="360"/>
      </w:pPr>
    </w:lvl>
    <w:lvl w:ilvl="7" w:tplc="04020019" w:tentative="1">
      <w:start w:val="1"/>
      <w:numFmt w:val="lowerLetter"/>
      <w:lvlText w:val="%8."/>
      <w:lvlJc w:val="left"/>
      <w:pPr>
        <w:tabs>
          <w:tab w:val="num" w:pos="5835"/>
        </w:tabs>
        <w:ind w:left="5835" w:hanging="360"/>
      </w:pPr>
    </w:lvl>
    <w:lvl w:ilvl="8" w:tplc="0402001B" w:tentative="1">
      <w:start w:val="1"/>
      <w:numFmt w:val="lowerRoman"/>
      <w:lvlText w:val="%9."/>
      <w:lvlJc w:val="right"/>
      <w:pPr>
        <w:tabs>
          <w:tab w:val="num" w:pos="6555"/>
        </w:tabs>
        <w:ind w:left="6555" w:hanging="180"/>
      </w:pPr>
    </w:lvl>
  </w:abstractNum>
  <w:abstractNum w:abstractNumId="1" w15:restartNumberingAfterBreak="0">
    <w:nsid w:val="0B015502"/>
    <w:multiLevelType w:val="hybridMultilevel"/>
    <w:tmpl w:val="3E36F240"/>
    <w:lvl w:ilvl="0" w:tplc="C4D82B1C">
      <w:start w:val="1"/>
      <w:numFmt w:val="decimal"/>
      <w:lvlText w:val="%1."/>
      <w:lvlJc w:val="left"/>
      <w:pPr>
        <w:ind w:left="422" w:hanging="360"/>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2" w15:restartNumberingAfterBreak="0">
    <w:nsid w:val="0F444719"/>
    <w:multiLevelType w:val="hybridMultilevel"/>
    <w:tmpl w:val="D5E40798"/>
    <w:lvl w:ilvl="0" w:tplc="0402000F">
      <w:start w:val="1"/>
      <w:numFmt w:val="decimal"/>
      <w:lvlText w:val="%1."/>
      <w:lvlJc w:val="left"/>
      <w:pPr>
        <w:tabs>
          <w:tab w:val="num" w:pos="808"/>
        </w:tabs>
        <w:ind w:left="808" w:hanging="360"/>
      </w:pPr>
    </w:lvl>
    <w:lvl w:ilvl="1" w:tplc="04020019" w:tentative="1">
      <w:start w:val="1"/>
      <w:numFmt w:val="lowerLetter"/>
      <w:lvlText w:val="%2."/>
      <w:lvlJc w:val="left"/>
      <w:pPr>
        <w:tabs>
          <w:tab w:val="num" w:pos="1528"/>
        </w:tabs>
        <w:ind w:left="1528" w:hanging="360"/>
      </w:pPr>
    </w:lvl>
    <w:lvl w:ilvl="2" w:tplc="0402001B" w:tentative="1">
      <w:start w:val="1"/>
      <w:numFmt w:val="lowerRoman"/>
      <w:lvlText w:val="%3."/>
      <w:lvlJc w:val="right"/>
      <w:pPr>
        <w:tabs>
          <w:tab w:val="num" w:pos="2248"/>
        </w:tabs>
        <w:ind w:left="2248" w:hanging="180"/>
      </w:pPr>
    </w:lvl>
    <w:lvl w:ilvl="3" w:tplc="0402000F" w:tentative="1">
      <w:start w:val="1"/>
      <w:numFmt w:val="decimal"/>
      <w:lvlText w:val="%4."/>
      <w:lvlJc w:val="left"/>
      <w:pPr>
        <w:tabs>
          <w:tab w:val="num" w:pos="2968"/>
        </w:tabs>
        <w:ind w:left="2968" w:hanging="360"/>
      </w:pPr>
    </w:lvl>
    <w:lvl w:ilvl="4" w:tplc="04020019" w:tentative="1">
      <w:start w:val="1"/>
      <w:numFmt w:val="lowerLetter"/>
      <w:lvlText w:val="%5."/>
      <w:lvlJc w:val="left"/>
      <w:pPr>
        <w:tabs>
          <w:tab w:val="num" w:pos="3688"/>
        </w:tabs>
        <w:ind w:left="3688" w:hanging="360"/>
      </w:pPr>
    </w:lvl>
    <w:lvl w:ilvl="5" w:tplc="0402001B" w:tentative="1">
      <w:start w:val="1"/>
      <w:numFmt w:val="lowerRoman"/>
      <w:lvlText w:val="%6."/>
      <w:lvlJc w:val="right"/>
      <w:pPr>
        <w:tabs>
          <w:tab w:val="num" w:pos="4408"/>
        </w:tabs>
        <w:ind w:left="4408" w:hanging="180"/>
      </w:pPr>
    </w:lvl>
    <w:lvl w:ilvl="6" w:tplc="0402000F" w:tentative="1">
      <w:start w:val="1"/>
      <w:numFmt w:val="decimal"/>
      <w:lvlText w:val="%7."/>
      <w:lvlJc w:val="left"/>
      <w:pPr>
        <w:tabs>
          <w:tab w:val="num" w:pos="5128"/>
        </w:tabs>
        <w:ind w:left="5128" w:hanging="360"/>
      </w:pPr>
    </w:lvl>
    <w:lvl w:ilvl="7" w:tplc="04020019" w:tentative="1">
      <w:start w:val="1"/>
      <w:numFmt w:val="lowerLetter"/>
      <w:lvlText w:val="%8."/>
      <w:lvlJc w:val="left"/>
      <w:pPr>
        <w:tabs>
          <w:tab w:val="num" w:pos="5848"/>
        </w:tabs>
        <w:ind w:left="5848" w:hanging="360"/>
      </w:pPr>
    </w:lvl>
    <w:lvl w:ilvl="8" w:tplc="0402001B" w:tentative="1">
      <w:start w:val="1"/>
      <w:numFmt w:val="lowerRoman"/>
      <w:lvlText w:val="%9."/>
      <w:lvlJc w:val="right"/>
      <w:pPr>
        <w:tabs>
          <w:tab w:val="num" w:pos="6568"/>
        </w:tabs>
        <w:ind w:left="6568" w:hanging="180"/>
      </w:pPr>
    </w:lvl>
  </w:abstractNum>
  <w:abstractNum w:abstractNumId="3" w15:restartNumberingAfterBreak="0">
    <w:nsid w:val="1049027A"/>
    <w:multiLevelType w:val="hybridMultilevel"/>
    <w:tmpl w:val="A82404C2"/>
    <w:lvl w:ilvl="0" w:tplc="475E4378">
      <w:start w:val="2"/>
      <w:numFmt w:val="bullet"/>
      <w:lvlText w:val="-"/>
      <w:lvlJc w:val="left"/>
      <w:pPr>
        <w:ind w:left="422" w:hanging="360"/>
      </w:pPr>
      <w:rPr>
        <w:rFonts w:ascii="Verdana" w:eastAsia="Times New Roman" w:hAnsi="Verdana" w:cs="Times New Roman" w:hint="default"/>
      </w:rPr>
    </w:lvl>
    <w:lvl w:ilvl="1" w:tplc="04020003" w:tentative="1">
      <w:start w:val="1"/>
      <w:numFmt w:val="bullet"/>
      <w:lvlText w:val="o"/>
      <w:lvlJc w:val="left"/>
      <w:pPr>
        <w:ind w:left="1142" w:hanging="360"/>
      </w:pPr>
      <w:rPr>
        <w:rFonts w:ascii="Courier New" w:hAnsi="Courier New" w:cs="Courier New" w:hint="default"/>
      </w:rPr>
    </w:lvl>
    <w:lvl w:ilvl="2" w:tplc="04020005" w:tentative="1">
      <w:start w:val="1"/>
      <w:numFmt w:val="bullet"/>
      <w:lvlText w:val=""/>
      <w:lvlJc w:val="left"/>
      <w:pPr>
        <w:ind w:left="1862" w:hanging="360"/>
      </w:pPr>
      <w:rPr>
        <w:rFonts w:ascii="Wingdings" w:hAnsi="Wingdings" w:hint="default"/>
      </w:rPr>
    </w:lvl>
    <w:lvl w:ilvl="3" w:tplc="04020001" w:tentative="1">
      <w:start w:val="1"/>
      <w:numFmt w:val="bullet"/>
      <w:lvlText w:val=""/>
      <w:lvlJc w:val="left"/>
      <w:pPr>
        <w:ind w:left="2582" w:hanging="360"/>
      </w:pPr>
      <w:rPr>
        <w:rFonts w:ascii="Symbol" w:hAnsi="Symbol" w:hint="default"/>
      </w:rPr>
    </w:lvl>
    <w:lvl w:ilvl="4" w:tplc="04020003" w:tentative="1">
      <w:start w:val="1"/>
      <w:numFmt w:val="bullet"/>
      <w:lvlText w:val="o"/>
      <w:lvlJc w:val="left"/>
      <w:pPr>
        <w:ind w:left="3302" w:hanging="360"/>
      </w:pPr>
      <w:rPr>
        <w:rFonts w:ascii="Courier New" w:hAnsi="Courier New" w:cs="Courier New" w:hint="default"/>
      </w:rPr>
    </w:lvl>
    <w:lvl w:ilvl="5" w:tplc="04020005" w:tentative="1">
      <w:start w:val="1"/>
      <w:numFmt w:val="bullet"/>
      <w:lvlText w:val=""/>
      <w:lvlJc w:val="left"/>
      <w:pPr>
        <w:ind w:left="4022" w:hanging="360"/>
      </w:pPr>
      <w:rPr>
        <w:rFonts w:ascii="Wingdings" w:hAnsi="Wingdings" w:hint="default"/>
      </w:rPr>
    </w:lvl>
    <w:lvl w:ilvl="6" w:tplc="04020001" w:tentative="1">
      <w:start w:val="1"/>
      <w:numFmt w:val="bullet"/>
      <w:lvlText w:val=""/>
      <w:lvlJc w:val="left"/>
      <w:pPr>
        <w:ind w:left="4742" w:hanging="360"/>
      </w:pPr>
      <w:rPr>
        <w:rFonts w:ascii="Symbol" w:hAnsi="Symbol" w:hint="default"/>
      </w:rPr>
    </w:lvl>
    <w:lvl w:ilvl="7" w:tplc="04020003" w:tentative="1">
      <w:start w:val="1"/>
      <w:numFmt w:val="bullet"/>
      <w:lvlText w:val="o"/>
      <w:lvlJc w:val="left"/>
      <w:pPr>
        <w:ind w:left="5462" w:hanging="360"/>
      </w:pPr>
      <w:rPr>
        <w:rFonts w:ascii="Courier New" w:hAnsi="Courier New" w:cs="Courier New" w:hint="default"/>
      </w:rPr>
    </w:lvl>
    <w:lvl w:ilvl="8" w:tplc="04020005" w:tentative="1">
      <w:start w:val="1"/>
      <w:numFmt w:val="bullet"/>
      <w:lvlText w:val=""/>
      <w:lvlJc w:val="left"/>
      <w:pPr>
        <w:ind w:left="6182" w:hanging="360"/>
      </w:pPr>
      <w:rPr>
        <w:rFonts w:ascii="Wingdings" w:hAnsi="Wingdings" w:hint="default"/>
      </w:rPr>
    </w:lvl>
  </w:abstractNum>
  <w:abstractNum w:abstractNumId="4" w15:restartNumberingAfterBreak="0">
    <w:nsid w:val="110F1814"/>
    <w:multiLevelType w:val="hybridMultilevel"/>
    <w:tmpl w:val="C46011FE"/>
    <w:lvl w:ilvl="0" w:tplc="AFD28C3A">
      <w:start w:val="1"/>
      <w:numFmt w:val="bullet"/>
      <w:lvlText w:val=""/>
      <w:lvlJc w:val="left"/>
      <w:pPr>
        <w:tabs>
          <w:tab w:val="num" w:pos="795"/>
        </w:tabs>
        <w:ind w:left="795" w:hanging="360"/>
      </w:pPr>
      <w:rPr>
        <w:rFonts w:ascii="Symbol" w:hAnsi="Symbol" w:hint="default"/>
      </w:rPr>
    </w:lvl>
    <w:lvl w:ilvl="1" w:tplc="04020019" w:tentative="1">
      <w:start w:val="1"/>
      <w:numFmt w:val="lowerLetter"/>
      <w:lvlText w:val="%2."/>
      <w:lvlJc w:val="left"/>
      <w:pPr>
        <w:tabs>
          <w:tab w:val="num" w:pos="1515"/>
        </w:tabs>
        <w:ind w:left="1515" w:hanging="360"/>
      </w:pPr>
    </w:lvl>
    <w:lvl w:ilvl="2" w:tplc="0402001B" w:tentative="1">
      <w:start w:val="1"/>
      <w:numFmt w:val="lowerRoman"/>
      <w:lvlText w:val="%3."/>
      <w:lvlJc w:val="right"/>
      <w:pPr>
        <w:tabs>
          <w:tab w:val="num" w:pos="2235"/>
        </w:tabs>
        <w:ind w:left="2235" w:hanging="180"/>
      </w:pPr>
    </w:lvl>
    <w:lvl w:ilvl="3" w:tplc="0402000F" w:tentative="1">
      <w:start w:val="1"/>
      <w:numFmt w:val="decimal"/>
      <w:lvlText w:val="%4."/>
      <w:lvlJc w:val="left"/>
      <w:pPr>
        <w:tabs>
          <w:tab w:val="num" w:pos="2955"/>
        </w:tabs>
        <w:ind w:left="2955" w:hanging="360"/>
      </w:pPr>
    </w:lvl>
    <w:lvl w:ilvl="4" w:tplc="04020019" w:tentative="1">
      <w:start w:val="1"/>
      <w:numFmt w:val="lowerLetter"/>
      <w:lvlText w:val="%5."/>
      <w:lvlJc w:val="left"/>
      <w:pPr>
        <w:tabs>
          <w:tab w:val="num" w:pos="3675"/>
        </w:tabs>
        <w:ind w:left="3675" w:hanging="360"/>
      </w:pPr>
    </w:lvl>
    <w:lvl w:ilvl="5" w:tplc="0402001B" w:tentative="1">
      <w:start w:val="1"/>
      <w:numFmt w:val="lowerRoman"/>
      <w:lvlText w:val="%6."/>
      <w:lvlJc w:val="right"/>
      <w:pPr>
        <w:tabs>
          <w:tab w:val="num" w:pos="4395"/>
        </w:tabs>
        <w:ind w:left="4395" w:hanging="180"/>
      </w:pPr>
    </w:lvl>
    <w:lvl w:ilvl="6" w:tplc="0402000F" w:tentative="1">
      <w:start w:val="1"/>
      <w:numFmt w:val="decimal"/>
      <w:lvlText w:val="%7."/>
      <w:lvlJc w:val="left"/>
      <w:pPr>
        <w:tabs>
          <w:tab w:val="num" w:pos="5115"/>
        </w:tabs>
        <w:ind w:left="5115" w:hanging="360"/>
      </w:pPr>
    </w:lvl>
    <w:lvl w:ilvl="7" w:tplc="04020019" w:tentative="1">
      <w:start w:val="1"/>
      <w:numFmt w:val="lowerLetter"/>
      <w:lvlText w:val="%8."/>
      <w:lvlJc w:val="left"/>
      <w:pPr>
        <w:tabs>
          <w:tab w:val="num" w:pos="5835"/>
        </w:tabs>
        <w:ind w:left="5835" w:hanging="360"/>
      </w:pPr>
    </w:lvl>
    <w:lvl w:ilvl="8" w:tplc="0402001B" w:tentative="1">
      <w:start w:val="1"/>
      <w:numFmt w:val="lowerRoman"/>
      <w:lvlText w:val="%9."/>
      <w:lvlJc w:val="right"/>
      <w:pPr>
        <w:tabs>
          <w:tab w:val="num" w:pos="6555"/>
        </w:tabs>
        <w:ind w:left="6555" w:hanging="180"/>
      </w:pPr>
    </w:lvl>
  </w:abstractNum>
  <w:abstractNum w:abstractNumId="5" w15:restartNumberingAfterBreak="0">
    <w:nsid w:val="1A5B4E5B"/>
    <w:multiLevelType w:val="hybridMultilevel"/>
    <w:tmpl w:val="ED9C39B2"/>
    <w:lvl w:ilvl="0" w:tplc="0402000F">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E8215A3"/>
    <w:multiLevelType w:val="multilevel"/>
    <w:tmpl w:val="A3FA4CF2"/>
    <w:lvl w:ilvl="0">
      <w:start w:val="6"/>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6B2E46"/>
    <w:multiLevelType w:val="hybridMultilevel"/>
    <w:tmpl w:val="04E080EA"/>
    <w:lvl w:ilvl="0" w:tplc="40428C3E">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28B6908"/>
    <w:multiLevelType w:val="hybridMultilevel"/>
    <w:tmpl w:val="645A4D82"/>
    <w:lvl w:ilvl="0" w:tplc="4C9A01E8">
      <w:start w:val="1"/>
      <w:numFmt w:val="bullet"/>
      <w:lvlText w:val="-"/>
      <w:lvlJc w:val="left"/>
      <w:pPr>
        <w:ind w:left="422" w:hanging="360"/>
      </w:pPr>
      <w:rPr>
        <w:rFonts w:ascii="Verdana" w:eastAsia="Times New Roman" w:hAnsi="Verdana" w:cs="Times New Roman" w:hint="default"/>
      </w:rPr>
    </w:lvl>
    <w:lvl w:ilvl="1" w:tplc="04020003" w:tentative="1">
      <w:start w:val="1"/>
      <w:numFmt w:val="bullet"/>
      <w:lvlText w:val="o"/>
      <w:lvlJc w:val="left"/>
      <w:pPr>
        <w:ind w:left="1142" w:hanging="360"/>
      </w:pPr>
      <w:rPr>
        <w:rFonts w:ascii="Courier New" w:hAnsi="Courier New" w:cs="Courier New" w:hint="default"/>
      </w:rPr>
    </w:lvl>
    <w:lvl w:ilvl="2" w:tplc="04020005" w:tentative="1">
      <w:start w:val="1"/>
      <w:numFmt w:val="bullet"/>
      <w:lvlText w:val=""/>
      <w:lvlJc w:val="left"/>
      <w:pPr>
        <w:ind w:left="1862" w:hanging="360"/>
      </w:pPr>
      <w:rPr>
        <w:rFonts w:ascii="Wingdings" w:hAnsi="Wingdings" w:hint="default"/>
      </w:rPr>
    </w:lvl>
    <w:lvl w:ilvl="3" w:tplc="04020001" w:tentative="1">
      <w:start w:val="1"/>
      <w:numFmt w:val="bullet"/>
      <w:lvlText w:val=""/>
      <w:lvlJc w:val="left"/>
      <w:pPr>
        <w:ind w:left="2582" w:hanging="360"/>
      </w:pPr>
      <w:rPr>
        <w:rFonts w:ascii="Symbol" w:hAnsi="Symbol" w:hint="default"/>
      </w:rPr>
    </w:lvl>
    <w:lvl w:ilvl="4" w:tplc="04020003" w:tentative="1">
      <w:start w:val="1"/>
      <w:numFmt w:val="bullet"/>
      <w:lvlText w:val="o"/>
      <w:lvlJc w:val="left"/>
      <w:pPr>
        <w:ind w:left="3302" w:hanging="360"/>
      </w:pPr>
      <w:rPr>
        <w:rFonts w:ascii="Courier New" w:hAnsi="Courier New" w:cs="Courier New" w:hint="default"/>
      </w:rPr>
    </w:lvl>
    <w:lvl w:ilvl="5" w:tplc="04020005" w:tentative="1">
      <w:start w:val="1"/>
      <w:numFmt w:val="bullet"/>
      <w:lvlText w:val=""/>
      <w:lvlJc w:val="left"/>
      <w:pPr>
        <w:ind w:left="4022" w:hanging="360"/>
      </w:pPr>
      <w:rPr>
        <w:rFonts w:ascii="Wingdings" w:hAnsi="Wingdings" w:hint="default"/>
      </w:rPr>
    </w:lvl>
    <w:lvl w:ilvl="6" w:tplc="04020001" w:tentative="1">
      <w:start w:val="1"/>
      <w:numFmt w:val="bullet"/>
      <w:lvlText w:val=""/>
      <w:lvlJc w:val="left"/>
      <w:pPr>
        <w:ind w:left="4742" w:hanging="360"/>
      </w:pPr>
      <w:rPr>
        <w:rFonts w:ascii="Symbol" w:hAnsi="Symbol" w:hint="default"/>
      </w:rPr>
    </w:lvl>
    <w:lvl w:ilvl="7" w:tplc="04020003" w:tentative="1">
      <w:start w:val="1"/>
      <w:numFmt w:val="bullet"/>
      <w:lvlText w:val="o"/>
      <w:lvlJc w:val="left"/>
      <w:pPr>
        <w:ind w:left="5462" w:hanging="360"/>
      </w:pPr>
      <w:rPr>
        <w:rFonts w:ascii="Courier New" w:hAnsi="Courier New" w:cs="Courier New" w:hint="default"/>
      </w:rPr>
    </w:lvl>
    <w:lvl w:ilvl="8" w:tplc="04020005" w:tentative="1">
      <w:start w:val="1"/>
      <w:numFmt w:val="bullet"/>
      <w:lvlText w:val=""/>
      <w:lvlJc w:val="left"/>
      <w:pPr>
        <w:ind w:left="6182" w:hanging="360"/>
      </w:pPr>
      <w:rPr>
        <w:rFonts w:ascii="Wingdings" w:hAnsi="Wingdings" w:hint="default"/>
      </w:rPr>
    </w:lvl>
  </w:abstractNum>
  <w:abstractNum w:abstractNumId="9" w15:restartNumberingAfterBreak="0">
    <w:nsid w:val="2AB46C8E"/>
    <w:multiLevelType w:val="hybridMultilevel"/>
    <w:tmpl w:val="8FC050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B22B3A"/>
    <w:multiLevelType w:val="hybridMultilevel"/>
    <w:tmpl w:val="6BF63680"/>
    <w:lvl w:ilvl="0" w:tplc="54B29F28">
      <w:start w:val="1"/>
      <w:numFmt w:val="decimal"/>
      <w:lvlText w:val="%1."/>
      <w:lvlJc w:val="left"/>
      <w:pPr>
        <w:ind w:left="422" w:hanging="360"/>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11" w15:restartNumberingAfterBreak="0">
    <w:nsid w:val="35FF4182"/>
    <w:multiLevelType w:val="hybridMultilevel"/>
    <w:tmpl w:val="CC80C6C4"/>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6214920"/>
    <w:multiLevelType w:val="hybridMultilevel"/>
    <w:tmpl w:val="D3A4C8C6"/>
    <w:lvl w:ilvl="0" w:tplc="7FCAD084">
      <w:start w:val="1"/>
      <w:numFmt w:val="decimal"/>
      <w:lvlText w:val="%1."/>
      <w:lvlJc w:val="left"/>
      <w:pPr>
        <w:ind w:left="422" w:hanging="360"/>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13" w15:restartNumberingAfterBreak="0">
    <w:nsid w:val="3817073B"/>
    <w:multiLevelType w:val="hybridMultilevel"/>
    <w:tmpl w:val="1C1828C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3BBE3701"/>
    <w:multiLevelType w:val="hybridMultilevel"/>
    <w:tmpl w:val="001A29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4C21C13"/>
    <w:multiLevelType w:val="hybridMultilevel"/>
    <w:tmpl w:val="A810E598"/>
    <w:lvl w:ilvl="0" w:tplc="3000B91E">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49602596"/>
    <w:multiLevelType w:val="hybridMultilevel"/>
    <w:tmpl w:val="31EA29D8"/>
    <w:lvl w:ilvl="0" w:tplc="588ECA2A">
      <w:start w:val="1"/>
      <w:numFmt w:val="decimal"/>
      <w:lvlText w:val="%1."/>
      <w:lvlJc w:val="left"/>
      <w:pPr>
        <w:ind w:left="422" w:hanging="360"/>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17" w15:restartNumberingAfterBreak="0">
    <w:nsid w:val="4D404304"/>
    <w:multiLevelType w:val="hybridMultilevel"/>
    <w:tmpl w:val="FF68003E"/>
    <w:lvl w:ilvl="0" w:tplc="1CE60EC4">
      <w:start w:val="1"/>
      <w:numFmt w:val="bullet"/>
      <w:lvlText w:val=""/>
      <w:lvlJc w:val="left"/>
      <w:pPr>
        <w:tabs>
          <w:tab w:val="num" w:pos="720"/>
        </w:tabs>
        <w:ind w:left="720" w:hanging="360"/>
      </w:pPr>
      <w:rPr>
        <w:rFonts w:ascii="Symbol" w:hAnsi="Symbol" w:hint="default"/>
        <w:b w:val="0"/>
        <w:i w:val="0"/>
        <w:sz w:val="20"/>
        <w:szCs w:val="2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43731F"/>
    <w:multiLevelType w:val="hybridMultilevel"/>
    <w:tmpl w:val="83B2D3DC"/>
    <w:lvl w:ilvl="0" w:tplc="1CE60EC4">
      <w:start w:val="1"/>
      <w:numFmt w:val="bullet"/>
      <w:lvlText w:val=""/>
      <w:lvlJc w:val="left"/>
      <w:pPr>
        <w:tabs>
          <w:tab w:val="num" w:pos="720"/>
        </w:tabs>
        <w:ind w:left="720" w:hanging="360"/>
      </w:pPr>
      <w:rPr>
        <w:rFonts w:ascii="Symbol" w:hAnsi="Symbol" w:hint="default"/>
        <w:b w:val="0"/>
        <w:i w:val="0"/>
        <w:sz w:val="20"/>
        <w:szCs w:val="2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2D060D"/>
    <w:multiLevelType w:val="hybridMultilevel"/>
    <w:tmpl w:val="B4F82CA6"/>
    <w:lvl w:ilvl="0" w:tplc="43569CD0">
      <w:start w:val="1"/>
      <w:numFmt w:val="decimal"/>
      <w:lvlText w:val="%1."/>
      <w:lvlJc w:val="left"/>
      <w:pPr>
        <w:tabs>
          <w:tab w:val="num" w:pos="720"/>
        </w:tabs>
        <w:ind w:left="720" w:hanging="360"/>
      </w:pPr>
      <w:rPr>
        <w:b w:val="0"/>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55EC0A94"/>
    <w:multiLevelType w:val="hybridMultilevel"/>
    <w:tmpl w:val="E0106CA4"/>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5CAC04C2"/>
    <w:multiLevelType w:val="hybridMultilevel"/>
    <w:tmpl w:val="66041946"/>
    <w:lvl w:ilvl="0" w:tplc="AB52F02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F6522E"/>
    <w:multiLevelType w:val="multilevel"/>
    <w:tmpl w:val="DD66286E"/>
    <w:lvl w:ilvl="0">
      <w:start w:val="1"/>
      <w:numFmt w:val="decimal"/>
      <w:lvlText w:val="%1."/>
      <w:lvlJc w:val="left"/>
      <w:pPr>
        <w:ind w:left="360" w:hanging="360"/>
      </w:pPr>
      <w:rPr>
        <w:rFonts w:hint="default"/>
        <w:i/>
        <w:iCs/>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7C6A36"/>
    <w:multiLevelType w:val="hybridMultilevel"/>
    <w:tmpl w:val="2746109C"/>
    <w:lvl w:ilvl="0" w:tplc="1F6CD830">
      <w:start w:val="1"/>
      <w:numFmt w:val="decimal"/>
      <w:lvlText w:val="%1."/>
      <w:lvlJc w:val="left"/>
      <w:pPr>
        <w:ind w:left="422" w:hanging="360"/>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24" w15:restartNumberingAfterBreak="0">
    <w:nsid w:val="70941CFF"/>
    <w:multiLevelType w:val="hybridMultilevel"/>
    <w:tmpl w:val="A9907F24"/>
    <w:lvl w:ilvl="0" w:tplc="5FF2618C">
      <w:start w:val="1"/>
      <w:numFmt w:val="decimal"/>
      <w:lvlText w:val="%1."/>
      <w:lvlJc w:val="left"/>
      <w:pPr>
        <w:tabs>
          <w:tab w:val="num" w:pos="1440"/>
        </w:tabs>
        <w:ind w:left="1440" w:hanging="36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5" w15:restartNumberingAfterBreak="0">
    <w:nsid w:val="762709A7"/>
    <w:multiLevelType w:val="hybridMultilevel"/>
    <w:tmpl w:val="9CA4CC5A"/>
    <w:lvl w:ilvl="0" w:tplc="7400C6E4">
      <w:start w:val="1"/>
      <w:numFmt w:val="decimal"/>
      <w:lvlText w:val="%1."/>
      <w:lvlJc w:val="left"/>
      <w:pPr>
        <w:ind w:left="467" w:hanging="405"/>
      </w:pPr>
      <w:rPr>
        <w:rFonts w:hint="default"/>
      </w:rPr>
    </w:lvl>
    <w:lvl w:ilvl="1" w:tplc="04020019" w:tentative="1">
      <w:start w:val="1"/>
      <w:numFmt w:val="lowerLetter"/>
      <w:lvlText w:val="%2."/>
      <w:lvlJc w:val="left"/>
      <w:pPr>
        <w:ind w:left="1142" w:hanging="360"/>
      </w:pPr>
    </w:lvl>
    <w:lvl w:ilvl="2" w:tplc="0402001B" w:tentative="1">
      <w:start w:val="1"/>
      <w:numFmt w:val="lowerRoman"/>
      <w:lvlText w:val="%3."/>
      <w:lvlJc w:val="right"/>
      <w:pPr>
        <w:ind w:left="1862" w:hanging="180"/>
      </w:pPr>
    </w:lvl>
    <w:lvl w:ilvl="3" w:tplc="0402000F" w:tentative="1">
      <w:start w:val="1"/>
      <w:numFmt w:val="decimal"/>
      <w:lvlText w:val="%4."/>
      <w:lvlJc w:val="left"/>
      <w:pPr>
        <w:ind w:left="2582" w:hanging="360"/>
      </w:pPr>
    </w:lvl>
    <w:lvl w:ilvl="4" w:tplc="04020019" w:tentative="1">
      <w:start w:val="1"/>
      <w:numFmt w:val="lowerLetter"/>
      <w:lvlText w:val="%5."/>
      <w:lvlJc w:val="left"/>
      <w:pPr>
        <w:ind w:left="3302" w:hanging="360"/>
      </w:pPr>
    </w:lvl>
    <w:lvl w:ilvl="5" w:tplc="0402001B" w:tentative="1">
      <w:start w:val="1"/>
      <w:numFmt w:val="lowerRoman"/>
      <w:lvlText w:val="%6."/>
      <w:lvlJc w:val="right"/>
      <w:pPr>
        <w:ind w:left="4022" w:hanging="180"/>
      </w:pPr>
    </w:lvl>
    <w:lvl w:ilvl="6" w:tplc="0402000F" w:tentative="1">
      <w:start w:val="1"/>
      <w:numFmt w:val="decimal"/>
      <w:lvlText w:val="%7."/>
      <w:lvlJc w:val="left"/>
      <w:pPr>
        <w:ind w:left="4742" w:hanging="360"/>
      </w:pPr>
    </w:lvl>
    <w:lvl w:ilvl="7" w:tplc="04020019" w:tentative="1">
      <w:start w:val="1"/>
      <w:numFmt w:val="lowerLetter"/>
      <w:lvlText w:val="%8."/>
      <w:lvlJc w:val="left"/>
      <w:pPr>
        <w:ind w:left="5462" w:hanging="360"/>
      </w:pPr>
    </w:lvl>
    <w:lvl w:ilvl="8" w:tplc="0402001B" w:tentative="1">
      <w:start w:val="1"/>
      <w:numFmt w:val="lowerRoman"/>
      <w:lvlText w:val="%9."/>
      <w:lvlJc w:val="right"/>
      <w:pPr>
        <w:ind w:left="6182" w:hanging="180"/>
      </w:pPr>
    </w:lvl>
  </w:abstractNum>
  <w:abstractNum w:abstractNumId="26" w15:restartNumberingAfterBreak="0">
    <w:nsid w:val="770D089B"/>
    <w:multiLevelType w:val="hybridMultilevel"/>
    <w:tmpl w:val="AF6893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AE86524"/>
    <w:multiLevelType w:val="hybridMultilevel"/>
    <w:tmpl w:val="B3CE7312"/>
    <w:lvl w:ilvl="0" w:tplc="0402000F">
      <w:start w:val="1"/>
      <w:numFmt w:val="decimal"/>
      <w:lvlText w:val="%1."/>
      <w:lvlJc w:val="left"/>
      <w:pPr>
        <w:tabs>
          <w:tab w:val="num" w:pos="720"/>
        </w:tabs>
        <w:ind w:left="720" w:hanging="360"/>
      </w:p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7B536882"/>
    <w:multiLevelType w:val="hybridMultilevel"/>
    <w:tmpl w:val="93BC01A4"/>
    <w:lvl w:ilvl="0" w:tplc="4B964654">
      <w:start w:val="1"/>
      <w:numFmt w:val="bullet"/>
      <w:lvlText w:val="-"/>
      <w:lvlJc w:val="left"/>
      <w:pPr>
        <w:ind w:left="422" w:hanging="360"/>
      </w:pPr>
      <w:rPr>
        <w:rFonts w:ascii="Verdana" w:eastAsia="Times New Roman" w:hAnsi="Verdana" w:cs="Times New Roman" w:hint="default"/>
      </w:rPr>
    </w:lvl>
    <w:lvl w:ilvl="1" w:tplc="04020003" w:tentative="1">
      <w:start w:val="1"/>
      <w:numFmt w:val="bullet"/>
      <w:lvlText w:val="o"/>
      <w:lvlJc w:val="left"/>
      <w:pPr>
        <w:ind w:left="1142" w:hanging="360"/>
      </w:pPr>
      <w:rPr>
        <w:rFonts w:ascii="Courier New" w:hAnsi="Courier New" w:cs="Courier New" w:hint="default"/>
      </w:rPr>
    </w:lvl>
    <w:lvl w:ilvl="2" w:tplc="04020005" w:tentative="1">
      <w:start w:val="1"/>
      <w:numFmt w:val="bullet"/>
      <w:lvlText w:val=""/>
      <w:lvlJc w:val="left"/>
      <w:pPr>
        <w:ind w:left="1862" w:hanging="360"/>
      </w:pPr>
      <w:rPr>
        <w:rFonts w:ascii="Wingdings" w:hAnsi="Wingdings" w:hint="default"/>
      </w:rPr>
    </w:lvl>
    <w:lvl w:ilvl="3" w:tplc="04020001" w:tentative="1">
      <w:start w:val="1"/>
      <w:numFmt w:val="bullet"/>
      <w:lvlText w:val=""/>
      <w:lvlJc w:val="left"/>
      <w:pPr>
        <w:ind w:left="2582" w:hanging="360"/>
      </w:pPr>
      <w:rPr>
        <w:rFonts w:ascii="Symbol" w:hAnsi="Symbol" w:hint="default"/>
      </w:rPr>
    </w:lvl>
    <w:lvl w:ilvl="4" w:tplc="04020003" w:tentative="1">
      <w:start w:val="1"/>
      <w:numFmt w:val="bullet"/>
      <w:lvlText w:val="o"/>
      <w:lvlJc w:val="left"/>
      <w:pPr>
        <w:ind w:left="3302" w:hanging="360"/>
      </w:pPr>
      <w:rPr>
        <w:rFonts w:ascii="Courier New" w:hAnsi="Courier New" w:cs="Courier New" w:hint="default"/>
      </w:rPr>
    </w:lvl>
    <w:lvl w:ilvl="5" w:tplc="04020005" w:tentative="1">
      <w:start w:val="1"/>
      <w:numFmt w:val="bullet"/>
      <w:lvlText w:val=""/>
      <w:lvlJc w:val="left"/>
      <w:pPr>
        <w:ind w:left="4022" w:hanging="360"/>
      </w:pPr>
      <w:rPr>
        <w:rFonts w:ascii="Wingdings" w:hAnsi="Wingdings" w:hint="default"/>
      </w:rPr>
    </w:lvl>
    <w:lvl w:ilvl="6" w:tplc="04020001" w:tentative="1">
      <w:start w:val="1"/>
      <w:numFmt w:val="bullet"/>
      <w:lvlText w:val=""/>
      <w:lvlJc w:val="left"/>
      <w:pPr>
        <w:ind w:left="4742" w:hanging="360"/>
      </w:pPr>
      <w:rPr>
        <w:rFonts w:ascii="Symbol" w:hAnsi="Symbol" w:hint="default"/>
      </w:rPr>
    </w:lvl>
    <w:lvl w:ilvl="7" w:tplc="04020003" w:tentative="1">
      <w:start w:val="1"/>
      <w:numFmt w:val="bullet"/>
      <w:lvlText w:val="o"/>
      <w:lvlJc w:val="left"/>
      <w:pPr>
        <w:ind w:left="5462" w:hanging="360"/>
      </w:pPr>
      <w:rPr>
        <w:rFonts w:ascii="Courier New" w:hAnsi="Courier New" w:cs="Courier New" w:hint="default"/>
      </w:rPr>
    </w:lvl>
    <w:lvl w:ilvl="8" w:tplc="04020005" w:tentative="1">
      <w:start w:val="1"/>
      <w:numFmt w:val="bullet"/>
      <w:lvlText w:val=""/>
      <w:lvlJc w:val="left"/>
      <w:pPr>
        <w:ind w:left="6182" w:hanging="360"/>
      </w:pPr>
      <w:rPr>
        <w:rFonts w:ascii="Wingdings" w:hAnsi="Wingdings" w:hint="default"/>
      </w:rPr>
    </w:lvl>
  </w:abstractNum>
  <w:num w:numId="1" w16cid:durableId="839783172">
    <w:abstractNumId w:val="21"/>
  </w:num>
  <w:num w:numId="2" w16cid:durableId="694962605">
    <w:abstractNumId w:val="17"/>
  </w:num>
  <w:num w:numId="3" w16cid:durableId="750004159">
    <w:abstractNumId w:val="18"/>
  </w:num>
  <w:num w:numId="4" w16cid:durableId="1949852430">
    <w:abstractNumId w:val="27"/>
  </w:num>
  <w:num w:numId="5" w16cid:durableId="1500727289">
    <w:abstractNumId w:val="2"/>
  </w:num>
  <w:num w:numId="6" w16cid:durableId="1684167956">
    <w:abstractNumId w:val="19"/>
  </w:num>
  <w:num w:numId="7" w16cid:durableId="622543832">
    <w:abstractNumId w:val="13"/>
  </w:num>
  <w:num w:numId="8" w16cid:durableId="2104297980">
    <w:abstractNumId w:val="11"/>
  </w:num>
  <w:num w:numId="9" w16cid:durableId="1173834658">
    <w:abstractNumId w:val="7"/>
  </w:num>
  <w:num w:numId="10" w16cid:durableId="1229611042">
    <w:abstractNumId w:val="24"/>
  </w:num>
  <w:num w:numId="11" w16cid:durableId="1254514585">
    <w:abstractNumId w:val="9"/>
  </w:num>
  <w:num w:numId="12" w16cid:durableId="1271085239">
    <w:abstractNumId w:val="26"/>
  </w:num>
  <w:num w:numId="13" w16cid:durableId="1921870863">
    <w:abstractNumId w:val="15"/>
  </w:num>
  <w:num w:numId="14" w16cid:durableId="1408310205">
    <w:abstractNumId w:val="0"/>
  </w:num>
  <w:num w:numId="15" w16cid:durableId="1164711348">
    <w:abstractNumId w:val="20"/>
  </w:num>
  <w:num w:numId="16" w16cid:durableId="1308435522">
    <w:abstractNumId w:val="4"/>
  </w:num>
  <w:num w:numId="17" w16cid:durableId="1033723840">
    <w:abstractNumId w:val="14"/>
  </w:num>
  <w:num w:numId="18" w16cid:durableId="175077056">
    <w:abstractNumId w:val="10"/>
  </w:num>
  <w:num w:numId="19" w16cid:durableId="1917544027">
    <w:abstractNumId w:val="1"/>
  </w:num>
  <w:num w:numId="20" w16cid:durableId="124203901">
    <w:abstractNumId w:val="22"/>
  </w:num>
  <w:num w:numId="21" w16cid:durableId="308171156">
    <w:abstractNumId w:val="25"/>
  </w:num>
  <w:num w:numId="22" w16cid:durableId="1852331371">
    <w:abstractNumId w:val="23"/>
  </w:num>
  <w:num w:numId="23" w16cid:durableId="1062483641">
    <w:abstractNumId w:val="6"/>
  </w:num>
  <w:num w:numId="24" w16cid:durableId="409231220">
    <w:abstractNumId w:val="5"/>
  </w:num>
  <w:num w:numId="25" w16cid:durableId="951325139">
    <w:abstractNumId w:val="8"/>
  </w:num>
  <w:num w:numId="26" w16cid:durableId="2016953458">
    <w:abstractNumId w:val="28"/>
  </w:num>
  <w:num w:numId="27" w16cid:durableId="485903459">
    <w:abstractNumId w:val="3"/>
  </w:num>
  <w:num w:numId="28" w16cid:durableId="697389199">
    <w:abstractNumId w:val="12"/>
  </w:num>
  <w:num w:numId="29" w16cid:durableId="11149767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62"/>
    <w:rsid w:val="0000196E"/>
    <w:rsid w:val="00002803"/>
    <w:rsid w:val="00004CEF"/>
    <w:rsid w:val="00005797"/>
    <w:rsid w:val="00010A46"/>
    <w:rsid w:val="0001168F"/>
    <w:rsid w:val="00014117"/>
    <w:rsid w:val="00020A64"/>
    <w:rsid w:val="00020B30"/>
    <w:rsid w:val="00020E71"/>
    <w:rsid w:val="00030230"/>
    <w:rsid w:val="000327CC"/>
    <w:rsid w:val="00032B67"/>
    <w:rsid w:val="00041DBB"/>
    <w:rsid w:val="000437CC"/>
    <w:rsid w:val="00043CEB"/>
    <w:rsid w:val="000470EB"/>
    <w:rsid w:val="00047CD3"/>
    <w:rsid w:val="0005507F"/>
    <w:rsid w:val="00056821"/>
    <w:rsid w:val="00063B5A"/>
    <w:rsid w:val="00067214"/>
    <w:rsid w:val="00067540"/>
    <w:rsid w:val="0007009A"/>
    <w:rsid w:val="00070595"/>
    <w:rsid w:val="00083058"/>
    <w:rsid w:val="00083E71"/>
    <w:rsid w:val="00093E06"/>
    <w:rsid w:val="000A1BA3"/>
    <w:rsid w:val="000A78A4"/>
    <w:rsid w:val="000B26D3"/>
    <w:rsid w:val="000B3A25"/>
    <w:rsid w:val="000B47D2"/>
    <w:rsid w:val="000B4AB9"/>
    <w:rsid w:val="000B6A9D"/>
    <w:rsid w:val="000B7D8E"/>
    <w:rsid w:val="000C28D1"/>
    <w:rsid w:val="000D12D8"/>
    <w:rsid w:val="000D3D2B"/>
    <w:rsid w:val="000F30F7"/>
    <w:rsid w:val="000F4827"/>
    <w:rsid w:val="000F7511"/>
    <w:rsid w:val="00101B89"/>
    <w:rsid w:val="001023DF"/>
    <w:rsid w:val="0011462F"/>
    <w:rsid w:val="00115353"/>
    <w:rsid w:val="00125F98"/>
    <w:rsid w:val="00126266"/>
    <w:rsid w:val="00130D02"/>
    <w:rsid w:val="00135057"/>
    <w:rsid w:val="001414AE"/>
    <w:rsid w:val="001456D4"/>
    <w:rsid w:val="001462FF"/>
    <w:rsid w:val="0015133E"/>
    <w:rsid w:val="00152C65"/>
    <w:rsid w:val="0016331C"/>
    <w:rsid w:val="00181753"/>
    <w:rsid w:val="00185382"/>
    <w:rsid w:val="001A142B"/>
    <w:rsid w:val="001A53DB"/>
    <w:rsid w:val="001B63E2"/>
    <w:rsid w:val="001B6D99"/>
    <w:rsid w:val="001B7811"/>
    <w:rsid w:val="001C4191"/>
    <w:rsid w:val="001D1C86"/>
    <w:rsid w:val="001D6398"/>
    <w:rsid w:val="001D69CF"/>
    <w:rsid w:val="001E4651"/>
    <w:rsid w:val="001F307C"/>
    <w:rsid w:val="001F7231"/>
    <w:rsid w:val="00216B94"/>
    <w:rsid w:val="002210EA"/>
    <w:rsid w:val="00227169"/>
    <w:rsid w:val="002311E5"/>
    <w:rsid w:val="002534C6"/>
    <w:rsid w:val="002544C8"/>
    <w:rsid w:val="00262095"/>
    <w:rsid w:val="00264519"/>
    <w:rsid w:val="002735B7"/>
    <w:rsid w:val="00276356"/>
    <w:rsid w:val="00281585"/>
    <w:rsid w:val="00282A82"/>
    <w:rsid w:val="00283C58"/>
    <w:rsid w:val="00285797"/>
    <w:rsid w:val="002900F3"/>
    <w:rsid w:val="00296C6D"/>
    <w:rsid w:val="002973EC"/>
    <w:rsid w:val="002A4F35"/>
    <w:rsid w:val="002A7CA7"/>
    <w:rsid w:val="002B0BC2"/>
    <w:rsid w:val="002B18CB"/>
    <w:rsid w:val="002B21BC"/>
    <w:rsid w:val="002B2870"/>
    <w:rsid w:val="002B7865"/>
    <w:rsid w:val="002C1D9C"/>
    <w:rsid w:val="002C5647"/>
    <w:rsid w:val="002C65D0"/>
    <w:rsid w:val="002D7D92"/>
    <w:rsid w:val="002E0460"/>
    <w:rsid w:val="002E1254"/>
    <w:rsid w:val="002F1492"/>
    <w:rsid w:val="002F3325"/>
    <w:rsid w:val="002F3EA3"/>
    <w:rsid w:val="002F66B9"/>
    <w:rsid w:val="002F7AB1"/>
    <w:rsid w:val="003015B4"/>
    <w:rsid w:val="003103E8"/>
    <w:rsid w:val="00313EA7"/>
    <w:rsid w:val="00325543"/>
    <w:rsid w:val="00334B8E"/>
    <w:rsid w:val="003403F8"/>
    <w:rsid w:val="00342B03"/>
    <w:rsid w:val="00345249"/>
    <w:rsid w:val="00345449"/>
    <w:rsid w:val="00357D48"/>
    <w:rsid w:val="00360362"/>
    <w:rsid w:val="003654F6"/>
    <w:rsid w:val="00372E4C"/>
    <w:rsid w:val="00372EA2"/>
    <w:rsid w:val="00375B5F"/>
    <w:rsid w:val="00375F2C"/>
    <w:rsid w:val="00377DA4"/>
    <w:rsid w:val="003922D6"/>
    <w:rsid w:val="00392C45"/>
    <w:rsid w:val="00394C6A"/>
    <w:rsid w:val="003A0E86"/>
    <w:rsid w:val="003A140D"/>
    <w:rsid w:val="003B0E83"/>
    <w:rsid w:val="003B3712"/>
    <w:rsid w:val="003B4FAA"/>
    <w:rsid w:val="003B5291"/>
    <w:rsid w:val="003B6FC2"/>
    <w:rsid w:val="003C58AE"/>
    <w:rsid w:val="003D1F6D"/>
    <w:rsid w:val="003E08C1"/>
    <w:rsid w:val="003E22AC"/>
    <w:rsid w:val="003E44D0"/>
    <w:rsid w:val="003E6ED0"/>
    <w:rsid w:val="003F129B"/>
    <w:rsid w:val="003F1A17"/>
    <w:rsid w:val="003F1DBC"/>
    <w:rsid w:val="003F7CC9"/>
    <w:rsid w:val="004045CE"/>
    <w:rsid w:val="004231DE"/>
    <w:rsid w:val="004239F1"/>
    <w:rsid w:val="004308BA"/>
    <w:rsid w:val="00432D39"/>
    <w:rsid w:val="0043576A"/>
    <w:rsid w:val="004412CA"/>
    <w:rsid w:val="004433EF"/>
    <w:rsid w:val="00443AD9"/>
    <w:rsid w:val="00450454"/>
    <w:rsid w:val="00452598"/>
    <w:rsid w:val="00456E4F"/>
    <w:rsid w:val="00464397"/>
    <w:rsid w:val="00465241"/>
    <w:rsid w:val="004670BB"/>
    <w:rsid w:val="00467D0F"/>
    <w:rsid w:val="00470508"/>
    <w:rsid w:val="0047540E"/>
    <w:rsid w:val="00477866"/>
    <w:rsid w:val="00480036"/>
    <w:rsid w:val="004816F2"/>
    <w:rsid w:val="00493447"/>
    <w:rsid w:val="00493F39"/>
    <w:rsid w:val="0049496F"/>
    <w:rsid w:val="00497BD8"/>
    <w:rsid w:val="004A18A5"/>
    <w:rsid w:val="004A2E2D"/>
    <w:rsid w:val="004A53EF"/>
    <w:rsid w:val="004A67D2"/>
    <w:rsid w:val="004B21A9"/>
    <w:rsid w:val="004B26C1"/>
    <w:rsid w:val="004C13C8"/>
    <w:rsid w:val="004C1724"/>
    <w:rsid w:val="004C4DE7"/>
    <w:rsid w:val="004C5EE0"/>
    <w:rsid w:val="004C60D7"/>
    <w:rsid w:val="004C6F0D"/>
    <w:rsid w:val="004D279D"/>
    <w:rsid w:val="004D635F"/>
    <w:rsid w:val="004E18B5"/>
    <w:rsid w:val="004E2A23"/>
    <w:rsid w:val="004F2181"/>
    <w:rsid w:val="00511996"/>
    <w:rsid w:val="00527FD2"/>
    <w:rsid w:val="005348C7"/>
    <w:rsid w:val="0053572B"/>
    <w:rsid w:val="00536783"/>
    <w:rsid w:val="00542ED0"/>
    <w:rsid w:val="00542FFC"/>
    <w:rsid w:val="00551DC1"/>
    <w:rsid w:val="00560FCB"/>
    <w:rsid w:val="005656EB"/>
    <w:rsid w:val="0056644B"/>
    <w:rsid w:val="0056778F"/>
    <w:rsid w:val="005728E3"/>
    <w:rsid w:val="00584B41"/>
    <w:rsid w:val="00586A87"/>
    <w:rsid w:val="005943D5"/>
    <w:rsid w:val="00596094"/>
    <w:rsid w:val="005965F1"/>
    <w:rsid w:val="00597DEB"/>
    <w:rsid w:val="005A084E"/>
    <w:rsid w:val="005A1E45"/>
    <w:rsid w:val="005A2AC7"/>
    <w:rsid w:val="005A5186"/>
    <w:rsid w:val="005C38FE"/>
    <w:rsid w:val="005C703D"/>
    <w:rsid w:val="005C7CEC"/>
    <w:rsid w:val="005D1139"/>
    <w:rsid w:val="005D3F66"/>
    <w:rsid w:val="005E5671"/>
    <w:rsid w:val="005E76F7"/>
    <w:rsid w:val="005E7BCD"/>
    <w:rsid w:val="005F2C85"/>
    <w:rsid w:val="005F5C0D"/>
    <w:rsid w:val="00603B68"/>
    <w:rsid w:val="006053C0"/>
    <w:rsid w:val="00635232"/>
    <w:rsid w:val="00636C63"/>
    <w:rsid w:val="00660099"/>
    <w:rsid w:val="006602BD"/>
    <w:rsid w:val="00663A4F"/>
    <w:rsid w:val="00666A06"/>
    <w:rsid w:val="00667F11"/>
    <w:rsid w:val="006707F6"/>
    <w:rsid w:val="00681EFF"/>
    <w:rsid w:val="0068228A"/>
    <w:rsid w:val="00684FE6"/>
    <w:rsid w:val="006856FD"/>
    <w:rsid w:val="006866C0"/>
    <w:rsid w:val="00690CFB"/>
    <w:rsid w:val="00693EE3"/>
    <w:rsid w:val="006C030D"/>
    <w:rsid w:val="006C1301"/>
    <w:rsid w:val="006C23AD"/>
    <w:rsid w:val="006C2DB3"/>
    <w:rsid w:val="006C4193"/>
    <w:rsid w:val="006D0614"/>
    <w:rsid w:val="006D09BF"/>
    <w:rsid w:val="006D10E1"/>
    <w:rsid w:val="006D1A8A"/>
    <w:rsid w:val="006D24DC"/>
    <w:rsid w:val="006D32A2"/>
    <w:rsid w:val="006D6F53"/>
    <w:rsid w:val="006E129A"/>
    <w:rsid w:val="006E7E7B"/>
    <w:rsid w:val="006F06F8"/>
    <w:rsid w:val="006F1711"/>
    <w:rsid w:val="0071535A"/>
    <w:rsid w:val="00722459"/>
    <w:rsid w:val="00722F3B"/>
    <w:rsid w:val="007232CB"/>
    <w:rsid w:val="0073240E"/>
    <w:rsid w:val="00744879"/>
    <w:rsid w:val="007449A2"/>
    <w:rsid w:val="00747CD2"/>
    <w:rsid w:val="0075495C"/>
    <w:rsid w:val="00755D11"/>
    <w:rsid w:val="007626BB"/>
    <w:rsid w:val="00773B62"/>
    <w:rsid w:val="0078503F"/>
    <w:rsid w:val="0078600E"/>
    <w:rsid w:val="007912CD"/>
    <w:rsid w:val="00794B9B"/>
    <w:rsid w:val="00795A60"/>
    <w:rsid w:val="00795A82"/>
    <w:rsid w:val="007A0C62"/>
    <w:rsid w:val="007A6F40"/>
    <w:rsid w:val="007B5B39"/>
    <w:rsid w:val="007D12E4"/>
    <w:rsid w:val="007D351B"/>
    <w:rsid w:val="007D6200"/>
    <w:rsid w:val="007E1BC5"/>
    <w:rsid w:val="007E7D94"/>
    <w:rsid w:val="007F00FE"/>
    <w:rsid w:val="007F166F"/>
    <w:rsid w:val="007F27F2"/>
    <w:rsid w:val="007F59D2"/>
    <w:rsid w:val="007F74E5"/>
    <w:rsid w:val="00812EDA"/>
    <w:rsid w:val="008154B9"/>
    <w:rsid w:val="00822AC3"/>
    <w:rsid w:val="00824F99"/>
    <w:rsid w:val="00826772"/>
    <w:rsid w:val="00831129"/>
    <w:rsid w:val="00832759"/>
    <w:rsid w:val="0083679F"/>
    <w:rsid w:val="00836E5B"/>
    <w:rsid w:val="00840060"/>
    <w:rsid w:val="00850742"/>
    <w:rsid w:val="00852ECD"/>
    <w:rsid w:val="00861007"/>
    <w:rsid w:val="00861E49"/>
    <w:rsid w:val="00862088"/>
    <w:rsid w:val="00870B4E"/>
    <w:rsid w:val="00872AC6"/>
    <w:rsid w:val="00874365"/>
    <w:rsid w:val="00876B4E"/>
    <w:rsid w:val="00877100"/>
    <w:rsid w:val="00877D8F"/>
    <w:rsid w:val="008858AA"/>
    <w:rsid w:val="00886347"/>
    <w:rsid w:val="008921AF"/>
    <w:rsid w:val="00893612"/>
    <w:rsid w:val="0089388F"/>
    <w:rsid w:val="00895A62"/>
    <w:rsid w:val="008A20E1"/>
    <w:rsid w:val="008A6566"/>
    <w:rsid w:val="008B0B90"/>
    <w:rsid w:val="008C10CC"/>
    <w:rsid w:val="008C2704"/>
    <w:rsid w:val="008C3A37"/>
    <w:rsid w:val="008C544D"/>
    <w:rsid w:val="008C7185"/>
    <w:rsid w:val="008C7CDD"/>
    <w:rsid w:val="008D420D"/>
    <w:rsid w:val="008D507E"/>
    <w:rsid w:val="008D6734"/>
    <w:rsid w:val="008D6E42"/>
    <w:rsid w:val="008E2639"/>
    <w:rsid w:val="008E7083"/>
    <w:rsid w:val="008F0EC1"/>
    <w:rsid w:val="008F5CD6"/>
    <w:rsid w:val="008F757E"/>
    <w:rsid w:val="008F75C4"/>
    <w:rsid w:val="009001B8"/>
    <w:rsid w:val="00903326"/>
    <w:rsid w:val="00907A7E"/>
    <w:rsid w:val="00907F25"/>
    <w:rsid w:val="009147E6"/>
    <w:rsid w:val="00915CD6"/>
    <w:rsid w:val="00917FC5"/>
    <w:rsid w:val="00922991"/>
    <w:rsid w:val="009242AB"/>
    <w:rsid w:val="00925876"/>
    <w:rsid w:val="00932600"/>
    <w:rsid w:val="00932F71"/>
    <w:rsid w:val="00941680"/>
    <w:rsid w:val="00950913"/>
    <w:rsid w:val="00952087"/>
    <w:rsid w:val="00954BA0"/>
    <w:rsid w:val="00962470"/>
    <w:rsid w:val="009765B4"/>
    <w:rsid w:val="0098195B"/>
    <w:rsid w:val="00992441"/>
    <w:rsid w:val="00995402"/>
    <w:rsid w:val="009A35B6"/>
    <w:rsid w:val="009B2FCE"/>
    <w:rsid w:val="009B4391"/>
    <w:rsid w:val="009B532C"/>
    <w:rsid w:val="009C2545"/>
    <w:rsid w:val="009C2F06"/>
    <w:rsid w:val="009D02F6"/>
    <w:rsid w:val="009D0404"/>
    <w:rsid w:val="009D11EB"/>
    <w:rsid w:val="009D5B7C"/>
    <w:rsid w:val="009D7640"/>
    <w:rsid w:val="009E453F"/>
    <w:rsid w:val="009E493D"/>
    <w:rsid w:val="009E4BAF"/>
    <w:rsid w:val="009F3253"/>
    <w:rsid w:val="009F5ECE"/>
    <w:rsid w:val="009F794D"/>
    <w:rsid w:val="00A26669"/>
    <w:rsid w:val="00A2717E"/>
    <w:rsid w:val="00A31F40"/>
    <w:rsid w:val="00A33B2D"/>
    <w:rsid w:val="00A3405A"/>
    <w:rsid w:val="00A3520A"/>
    <w:rsid w:val="00A37B8F"/>
    <w:rsid w:val="00A4191D"/>
    <w:rsid w:val="00A42315"/>
    <w:rsid w:val="00A43AC2"/>
    <w:rsid w:val="00A440D2"/>
    <w:rsid w:val="00A471B3"/>
    <w:rsid w:val="00A523CC"/>
    <w:rsid w:val="00A54108"/>
    <w:rsid w:val="00A5428F"/>
    <w:rsid w:val="00A54F45"/>
    <w:rsid w:val="00A56A9D"/>
    <w:rsid w:val="00A5767D"/>
    <w:rsid w:val="00A60126"/>
    <w:rsid w:val="00A62DFB"/>
    <w:rsid w:val="00A64BFC"/>
    <w:rsid w:val="00A700C6"/>
    <w:rsid w:val="00A702B1"/>
    <w:rsid w:val="00A7032F"/>
    <w:rsid w:val="00A7239B"/>
    <w:rsid w:val="00A73EA0"/>
    <w:rsid w:val="00A74654"/>
    <w:rsid w:val="00A753B7"/>
    <w:rsid w:val="00A821FD"/>
    <w:rsid w:val="00A856AD"/>
    <w:rsid w:val="00A85BE0"/>
    <w:rsid w:val="00A8782A"/>
    <w:rsid w:val="00A90E80"/>
    <w:rsid w:val="00A95A8B"/>
    <w:rsid w:val="00A96692"/>
    <w:rsid w:val="00AA258B"/>
    <w:rsid w:val="00AA39CA"/>
    <w:rsid w:val="00AA44FC"/>
    <w:rsid w:val="00AA52CC"/>
    <w:rsid w:val="00AA561D"/>
    <w:rsid w:val="00AB7F91"/>
    <w:rsid w:val="00AC0979"/>
    <w:rsid w:val="00AC52F4"/>
    <w:rsid w:val="00AC6716"/>
    <w:rsid w:val="00AD178E"/>
    <w:rsid w:val="00AD1C71"/>
    <w:rsid w:val="00AD212C"/>
    <w:rsid w:val="00AE1171"/>
    <w:rsid w:val="00AE3249"/>
    <w:rsid w:val="00AF136F"/>
    <w:rsid w:val="00AF6A34"/>
    <w:rsid w:val="00B00152"/>
    <w:rsid w:val="00B02EE5"/>
    <w:rsid w:val="00B11598"/>
    <w:rsid w:val="00B126E7"/>
    <w:rsid w:val="00B1596E"/>
    <w:rsid w:val="00B15B35"/>
    <w:rsid w:val="00B408B9"/>
    <w:rsid w:val="00B447E1"/>
    <w:rsid w:val="00B529FC"/>
    <w:rsid w:val="00B54397"/>
    <w:rsid w:val="00B55D3F"/>
    <w:rsid w:val="00B57B6C"/>
    <w:rsid w:val="00B633A0"/>
    <w:rsid w:val="00B7399E"/>
    <w:rsid w:val="00B741C9"/>
    <w:rsid w:val="00B755AE"/>
    <w:rsid w:val="00B75D1A"/>
    <w:rsid w:val="00B8175D"/>
    <w:rsid w:val="00B830BB"/>
    <w:rsid w:val="00B8553B"/>
    <w:rsid w:val="00B8572B"/>
    <w:rsid w:val="00B85B0F"/>
    <w:rsid w:val="00B913C0"/>
    <w:rsid w:val="00B9729A"/>
    <w:rsid w:val="00B97DCB"/>
    <w:rsid w:val="00BA0542"/>
    <w:rsid w:val="00BA16F3"/>
    <w:rsid w:val="00BA18B5"/>
    <w:rsid w:val="00BA22ED"/>
    <w:rsid w:val="00BA3CA0"/>
    <w:rsid w:val="00BA6571"/>
    <w:rsid w:val="00BB1118"/>
    <w:rsid w:val="00BB3A60"/>
    <w:rsid w:val="00BB4C3E"/>
    <w:rsid w:val="00BB6A0F"/>
    <w:rsid w:val="00BD12D4"/>
    <w:rsid w:val="00BD29F0"/>
    <w:rsid w:val="00BD3D07"/>
    <w:rsid w:val="00BD64EE"/>
    <w:rsid w:val="00BD6FB0"/>
    <w:rsid w:val="00BE02ED"/>
    <w:rsid w:val="00BE77CB"/>
    <w:rsid w:val="00BF530B"/>
    <w:rsid w:val="00BF62E5"/>
    <w:rsid w:val="00BF7350"/>
    <w:rsid w:val="00C007CC"/>
    <w:rsid w:val="00C02A48"/>
    <w:rsid w:val="00C13770"/>
    <w:rsid w:val="00C163D1"/>
    <w:rsid w:val="00C17ABA"/>
    <w:rsid w:val="00C257FB"/>
    <w:rsid w:val="00C2684F"/>
    <w:rsid w:val="00C300E3"/>
    <w:rsid w:val="00C30282"/>
    <w:rsid w:val="00C613ED"/>
    <w:rsid w:val="00C62722"/>
    <w:rsid w:val="00C62E88"/>
    <w:rsid w:val="00C731E2"/>
    <w:rsid w:val="00C77432"/>
    <w:rsid w:val="00C90A64"/>
    <w:rsid w:val="00CA1611"/>
    <w:rsid w:val="00CA2C5A"/>
    <w:rsid w:val="00CA40A1"/>
    <w:rsid w:val="00CA7809"/>
    <w:rsid w:val="00CC1435"/>
    <w:rsid w:val="00CC2865"/>
    <w:rsid w:val="00CC43AD"/>
    <w:rsid w:val="00CC642C"/>
    <w:rsid w:val="00CD0575"/>
    <w:rsid w:val="00CD21A1"/>
    <w:rsid w:val="00CD5DF6"/>
    <w:rsid w:val="00CD60C4"/>
    <w:rsid w:val="00CD67C8"/>
    <w:rsid w:val="00CE2673"/>
    <w:rsid w:val="00CE3CEA"/>
    <w:rsid w:val="00CE3FE1"/>
    <w:rsid w:val="00CE4FB4"/>
    <w:rsid w:val="00CE697D"/>
    <w:rsid w:val="00CF1F5B"/>
    <w:rsid w:val="00CF76FB"/>
    <w:rsid w:val="00D116BF"/>
    <w:rsid w:val="00D2195C"/>
    <w:rsid w:val="00D32421"/>
    <w:rsid w:val="00D416D3"/>
    <w:rsid w:val="00D4535E"/>
    <w:rsid w:val="00D55DA5"/>
    <w:rsid w:val="00D60C28"/>
    <w:rsid w:val="00D6173D"/>
    <w:rsid w:val="00D6436B"/>
    <w:rsid w:val="00D67733"/>
    <w:rsid w:val="00D72406"/>
    <w:rsid w:val="00D752F2"/>
    <w:rsid w:val="00D779D9"/>
    <w:rsid w:val="00D84A24"/>
    <w:rsid w:val="00D85D38"/>
    <w:rsid w:val="00D865AA"/>
    <w:rsid w:val="00D87DED"/>
    <w:rsid w:val="00D932EE"/>
    <w:rsid w:val="00D939DD"/>
    <w:rsid w:val="00DA0D05"/>
    <w:rsid w:val="00DA0D07"/>
    <w:rsid w:val="00DA3658"/>
    <w:rsid w:val="00DA71EC"/>
    <w:rsid w:val="00DB08D7"/>
    <w:rsid w:val="00DB3147"/>
    <w:rsid w:val="00DB56B6"/>
    <w:rsid w:val="00DB5C39"/>
    <w:rsid w:val="00DB71AF"/>
    <w:rsid w:val="00DB7949"/>
    <w:rsid w:val="00DC05F9"/>
    <w:rsid w:val="00DC48D5"/>
    <w:rsid w:val="00DD078D"/>
    <w:rsid w:val="00DD2388"/>
    <w:rsid w:val="00DD622C"/>
    <w:rsid w:val="00DD7B86"/>
    <w:rsid w:val="00DD7EA1"/>
    <w:rsid w:val="00DE122D"/>
    <w:rsid w:val="00DE4802"/>
    <w:rsid w:val="00DE55DC"/>
    <w:rsid w:val="00DF6CD4"/>
    <w:rsid w:val="00E00019"/>
    <w:rsid w:val="00E041EE"/>
    <w:rsid w:val="00E069F4"/>
    <w:rsid w:val="00E13263"/>
    <w:rsid w:val="00E2089A"/>
    <w:rsid w:val="00E312D6"/>
    <w:rsid w:val="00E3414A"/>
    <w:rsid w:val="00E37307"/>
    <w:rsid w:val="00E41600"/>
    <w:rsid w:val="00E43B28"/>
    <w:rsid w:val="00E44B44"/>
    <w:rsid w:val="00E46000"/>
    <w:rsid w:val="00E52F04"/>
    <w:rsid w:val="00E5565B"/>
    <w:rsid w:val="00E57642"/>
    <w:rsid w:val="00E57B00"/>
    <w:rsid w:val="00E57DA3"/>
    <w:rsid w:val="00E73D8F"/>
    <w:rsid w:val="00E835BA"/>
    <w:rsid w:val="00E842CE"/>
    <w:rsid w:val="00E84A17"/>
    <w:rsid w:val="00E95D5C"/>
    <w:rsid w:val="00E96F28"/>
    <w:rsid w:val="00EA1C10"/>
    <w:rsid w:val="00EA213C"/>
    <w:rsid w:val="00EA346F"/>
    <w:rsid w:val="00EB1717"/>
    <w:rsid w:val="00EB3391"/>
    <w:rsid w:val="00EB3EAB"/>
    <w:rsid w:val="00EB59AD"/>
    <w:rsid w:val="00EB674D"/>
    <w:rsid w:val="00EC323E"/>
    <w:rsid w:val="00EC491C"/>
    <w:rsid w:val="00EC5F49"/>
    <w:rsid w:val="00ED084A"/>
    <w:rsid w:val="00EE5398"/>
    <w:rsid w:val="00EE5E56"/>
    <w:rsid w:val="00EF4E7A"/>
    <w:rsid w:val="00F0074C"/>
    <w:rsid w:val="00F027D4"/>
    <w:rsid w:val="00F05364"/>
    <w:rsid w:val="00F05663"/>
    <w:rsid w:val="00F111DC"/>
    <w:rsid w:val="00F11666"/>
    <w:rsid w:val="00F11D33"/>
    <w:rsid w:val="00F1598B"/>
    <w:rsid w:val="00F15C09"/>
    <w:rsid w:val="00F16C50"/>
    <w:rsid w:val="00F234B1"/>
    <w:rsid w:val="00F27D74"/>
    <w:rsid w:val="00F33C95"/>
    <w:rsid w:val="00F44909"/>
    <w:rsid w:val="00F45A65"/>
    <w:rsid w:val="00F51CB9"/>
    <w:rsid w:val="00F5303F"/>
    <w:rsid w:val="00F54D8C"/>
    <w:rsid w:val="00F672F8"/>
    <w:rsid w:val="00F70C81"/>
    <w:rsid w:val="00F71481"/>
    <w:rsid w:val="00F7266F"/>
    <w:rsid w:val="00F73E25"/>
    <w:rsid w:val="00F949E4"/>
    <w:rsid w:val="00FA25F3"/>
    <w:rsid w:val="00FA2BA6"/>
    <w:rsid w:val="00FA4875"/>
    <w:rsid w:val="00FB30DD"/>
    <w:rsid w:val="00FC0021"/>
    <w:rsid w:val="00FC0419"/>
    <w:rsid w:val="00FC19BD"/>
    <w:rsid w:val="00FC3B01"/>
    <w:rsid w:val="00FC3FC8"/>
    <w:rsid w:val="00FC4FD7"/>
    <w:rsid w:val="00FD0481"/>
    <w:rsid w:val="00FD0765"/>
    <w:rsid w:val="00FD1CE2"/>
    <w:rsid w:val="00FD2DE8"/>
    <w:rsid w:val="00FD586D"/>
    <w:rsid w:val="00FE55C6"/>
    <w:rsid w:val="00FF48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BDBCF9-34FD-B844-80B8-A8643DF7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lang w:eastAsia="en-US"/>
    </w:rPr>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outlineLvl w:val="1"/>
    </w:pPr>
    <w:rPr>
      <w:sz w:val="28"/>
    </w:rPr>
  </w:style>
  <w:style w:type="paragraph" w:styleId="3">
    <w:name w:val="heading 3"/>
    <w:basedOn w:val="a"/>
    <w:next w:val="a"/>
    <w:qFormat/>
    <w:pPr>
      <w:keepNext/>
      <w:jc w:val="center"/>
      <w:outlineLvl w:val="2"/>
    </w:pPr>
    <w:rPr>
      <w:b/>
      <w:sz w:val="28"/>
    </w:rPr>
  </w:style>
  <w:style w:type="paragraph" w:styleId="4">
    <w:name w:val="heading 4"/>
    <w:basedOn w:val="a"/>
    <w:next w:val="a"/>
    <w:qFormat/>
    <w:pPr>
      <w:keepNext/>
      <w:jc w:val="center"/>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rPr>
  </w:style>
  <w:style w:type="paragraph" w:styleId="a4">
    <w:name w:val="header"/>
    <w:basedOn w:val="a"/>
    <w:pPr>
      <w:tabs>
        <w:tab w:val="center" w:pos="4153"/>
        <w:tab w:val="right" w:pos="8306"/>
      </w:tabs>
    </w:pPr>
  </w:style>
  <w:style w:type="character" w:styleId="a5">
    <w:name w:val="page number"/>
    <w:basedOn w:val="a0"/>
  </w:style>
  <w:style w:type="paragraph" w:styleId="a6">
    <w:name w:val="Body Text"/>
    <w:basedOn w:val="a"/>
    <w:pPr>
      <w:jc w:val="center"/>
    </w:pPr>
    <w:rPr>
      <w:b/>
      <w:sz w:val="26"/>
    </w:rPr>
  </w:style>
  <w:style w:type="paragraph" w:styleId="a7">
    <w:name w:val="footer"/>
    <w:basedOn w:val="a"/>
    <w:link w:val="a8"/>
    <w:uiPriority w:val="99"/>
    <w:rsid w:val="004412CA"/>
    <w:pPr>
      <w:tabs>
        <w:tab w:val="center" w:pos="4536"/>
        <w:tab w:val="right" w:pos="9072"/>
      </w:tabs>
    </w:pPr>
  </w:style>
  <w:style w:type="paragraph" w:customStyle="1" w:styleId="CharCharCharChar1">
    <w:name w:val="Char Char Char Char1"/>
    <w:basedOn w:val="a"/>
    <w:rsid w:val="00E13263"/>
    <w:pPr>
      <w:tabs>
        <w:tab w:val="left" w:pos="709"/>
      </w:tabs>
    </w:pPr>
    <w:rPr>
      <w:rFonts w:ascii="Tahoma" w:hAnsi="Tahoma" w:cs="Tahoma"/>
      <w:szCs w:val="24"/>
      <w:lang w:val="pl-PL" w:eastAsia="pl-PL"/>
    </w:rPr>
  </w:style>
  <w:style w:type="character" w:styleId="a9">
    <w:name w:val="annotation reference"/>
    <w:semiHidden/>
    <w:rsid w:val="00EE5398"/>
    <w:rPr>
      <w:sz w:val="16"/>
      <w:szCs w:val="16"/>
    </w:rPr>
  </w:style>
  <w:style w:type="paragraph" w:styleId="aa">
    <w:name w:val="annotation text"/>
    <w:basedOn w:val="a"/>
    <w:semiHidden/>
    <w:rsid w:val="00EE5398"/>
    <w:rPr>
      <w:sz w:val="20"/>
      <w:lang w:eastAsia="bg-BG"/>
    </w:rPr>
  </w:style>
  <w:style w:type="paragraph" w:styleId="ab">
    <w:name w:val="Balloon Text"/>
    <w:basedOn w:val="a"/>
    <w:semiHidden/>
    <w:rsid w:val="00EE5398"/>
    <w:rPr>
      <w:rFonts w:ascii="Tahoma" w:hAnsi="Tahoma" w:cs="Tahoma"/>
      <w:sz w:val="16"/>
      <w:szCs w:val="16"/>
    </w:rPr>
  </w:style>
  <w:style w:type="character" w:customStyle="1" w:styleId="samedocreference11">
    <w:name w:val="samedocreference11"/>
    <w:rsid w:val="00BF62E5"/>
    <w:rPr>
      <w:i w:val="0"/>
      <w:iCs w:val="0"/>
      <w:color w:val="8B0000"/>
      <w:u w:val="single"/>
    </w:rPr>
  </w:style>
  <w:style w:type="character" w:customStyle="1" w:styleId="hps">
    <w:name w:val="hps"/>
    <w:basedOn w:val="a0"/>
    <w:rsid w:val="00BF62E5"/>
  </w:style>
  <w:style w:type="paragraph" w:customStyle="1" w:styleId="firstline">
    <w:name w:val="firstline"/>
    <w:basedOn w:val="a"/>
    <w:rsid w:val="00493447"/>
    <w:pPr>
      <w:spacing w:line="240" w:lineRule="atLeast"/>
      <w:ind w:firstLine="640"/>
      <w:jc w:val="both"/>
    </w:pPr>
    <w:rPr>
      <w:color w:val="000000"/>
      <w:sz w:val="20"/>
      <w:szCs w:val="24"/>
      <w:lang w:eastAsia="bg-BG"/>
    </w:rPr>
  </w:style>
  <w:style w:type="character" w:customStyle="1" w:styleId="samedocreference49">
    <w:name w:val="samedocreference49"/>
    <w:rsid w:val="00493447"/>
    <w:rPr>
      <w:i w:val="0"/>
      <w:iCs w:val="0"/>
      <w:color w:val="8B0000"/>
      <w:u w:val="single"/>
    </w:rPr>
  </w:style>
  <w:style w:type="character" w:customStyle="1" w:styleId="samedocreference50">
    <w:name w:val="samedocreference50"/>
    <w:rsid w:val="00493447"/>
    <w:rPr>
      <w:i w:val="0"/>
      <w:iCs w:val="0"/>
      <w:color w:val="8B0000"/>
      <w:u w:val="single"/>
    </w:rPr>
  </w:style>
  <w:style w:type="paragraph" w:styleId="ac">
    <w:name w:val="Normal (Web)"/>
    <w:basedOn w:val="a"/>
    <w:uiPriority w:val="99"/>
    <w:rsid w:val="00DD078D"/>
    <w:pPr>
      <w:spacing w:before="100" w:beforeAutospacing="1" w:after="100" w:afterAutospacing="1"/>
    </w:pPr>
    <w:rPr>
      <w:szCs w:val="24"/>
      <w:lang w:eastAsia="bg-BG"/>
    </w:rPr>
  </w:style>
  <w:style w:type="paragraph" w:customStyle="1" w:styleId="CharCharChar">
    <w:name w:val="Char Char Char"/>
    <w:basedOn w:val="a"/>
    <w:rsid w:val="00FF48CE"/>
    <w:pPr>
      <w:tabs>
        <w:tab w:val="left" w:pos="709"/>
      </w:tabs>
    </w:pPr>
    <w:rPr>
      <w:rFonts w:ascii="Tahoma" w:hAnsi="Tahoma" w:cs="Tahoma"/>
      <w:szCs w:val="24"/>
      <w:lang w:val="pl-PL" w:eastAsia="pl-PL"/>
    </w:rPr>
  </w:style>
  <w:style w:type="paragraph" w:customStyle="1" w:styleId="Char">
    <w:name w:val="Char"/>
    <w:basedOn w:val="a"/>
    <w:rsid w:val="00342B03"/>
    <w:pPr>
      <w:tabs>
        <w:tab w:val="left" w:pos="709"/>
      </w:tabs>
    </w:pPr>
    <w:rPr>
      <w:rFonts w:ascii="Tahoma" w:hAnsi="Tahoma" w:cs="Tahoma"/>
      <w:szCs w:val="24"/>
      <w:lang w:val="pl-PL" w:eastAsia="pl-PL"/>
    </w:rPr>
  </w:style>
  <w:style w:type="paragraph" w:customStyle="1" w:styleId="CharCharCharCharCharCharCharCharCharCharChar">
    <w:name w:val="Char Char Char Char Char Char Char Char Char Char Char"/>
    <w:basedOn w:val="a"/>
    <w:rsid w:val="0068228A"/>
    <w:pPr>
      <w:tabs>
        <w:tab w:val="left" w:pos="709"/>
      </w:tabs>
    </w:pPr>
    <w:rPr>
      <w:rFonts w:ascii="Tahoma" w:hAnsi="Tahoma" w:cs="Tahoma"/>
      <w:szCs w:val="24"/>
      <w:lang w:val="pl-PL" w:eastAsia="pl-PL"/>
    </w:rPr>
  </w:style>
  <w:style w:type="paragraph" w:customStyle="1" w:styleId="CharChar1">
    <w:name w:val="Char Char1"/>
    <w:basedOn w:val="a"/>
    <w:rsid w:val="00282A82"/>
    <w:pPr>
      <w:tabs>
        <w:tab w:val="left" w:pos="709"/>
      </w:tabs>
    </w:pPr>
    <w:rPr>
      <w:rFonts w:ascii="Tahoma" w:hAnsi="Tahoma"/>
      <w:szCs w:val="24"/>
      <w:lang w:val="pl-PL" w:eastAsia="pl-PL"/>
    </w:rPr>
  </w:style>
  <w:style w:type="character" w:customStyle="1" w:styleId="a8">
    <w:name w:val="Долен колонтитул Знак"/>
    <w:link w:val="a7"/>
    <w:uiPriority w:val="99"/>
    <w:rsid w:val="006C4193"/>
    <w:rPr>
      <w:sz w:val="24"/>
      <w:lang w:eastAsia="en-US"/>
    </w:rPr>
  </w:style>
  <w:style w:type="paragraph" w:styleId="ad">
    <w:name w:val="List Paragraph"/>
    <w:basedOn w:val="a"/>
    <w:uiPriority w:val="34"/>
    <w:qFormat/>
    <w:rsid w:val="002B2870"/>
    <w:pPr>
      <w:ind w:left="720"/>
      <w:contextualSpacing/>
    </w:pPr>
    <w:rPr>
      <w:rFonts w:ascii="Hebar" w:hAnsi="Hebar"/>
      <w:lang w:val="en-GB"/>
    </w:rPr>
  </w:style>
  <w:style w:type="character" w:customStyle="1" w:styleId="parcapt2">
    <w:name w:val="par_capt2"/>
    <w:rsid w:val="002B2870"/>
    <w:rPr>
      <w:b/>
      <w:bCs/>
      <w:vanish w:val="0"/>
      <w:webHidden w:val="0"/>
      <w:specVanish w:val="0"/>
    </w:rPr>
  </w:style>
  <w:style w:type="character" w:customStyle="1" w:styleId="BodytextSpacing-1pt">
    <w:name w:val="Body text + Spacing -1 pt"/>
    <w:rsid w:val="00542FFC"/>
    <w:rPr>
      <w:rFonts w:ascii="Segoe UI" w:eastAsia="Segoe UI" w:hAnsi="Segoe UI" w:cs="Segoe UI"/>
      <w:b w:val="0"/>
      <w:bCs w:val="0"/>
      <w:i w:val="0"/>
      <w:iCs w:val="0"/>
      <w:smallCaps w:val="0"/>
      <w:strike w:val="0"/>
      <w:spacing w:val="-20"/>
      <w:sz w:val="21"/>
      <w:szCs w:val="21"/>
    </w:rPr>
  </w:style>
  <w:style w:type="character" w:customStyle="1" w:styleId="BodytextItalic">
    <w:name w:val="Body text + Italic"/>
    <w:rsid w:val="00542FFC"/>
    <w:rPr>
      <w:rFonts w:ascii="Segoe UI" w:eastAsia="Segoe UI" w:hAnsi="Segoe UI" w:cs="Segoe UI"/>
      <w:b w:val="0"/>
      <w:bCs w:val="0"/>
      <w:i/>
      <w:iCs/>
      <w:smallCaps w:val="0"/>
      <w:strike w:val="0"/>
      <w:spacing w:val="0"/>
      <w:sz w:val="21"/>
      <w:szCs w:val="21"/>
    </w:rPr>
  </w:style>
  <w:style w:type="character" w:customStyle="1" w:styleId="Bodytext4">
    <w:name w:val="Body text (4)_"/>
    <w:link w:val="Bodytext40"/>
    <w:rsid w:val="006856FD"/>
    <w:rPr>
      <w:sz w:val="23"/>
      <w:szCs w:val="23"/>
      <w:shd w:val="clear" w:color="auto" w:fill="FFFFFF"/>
    </w:rPr>
  </w:style>
  <w:style w:type="character" w:customStyle="1" w:styleId="Bodytext7">
    <w:name w:val="Body text (7)_"/>
    <w:link w:val="Bodytext70"/>
    <w:rsid w:val="006856FD"/>
    <w:rPr>
      <w:sz w:val="23"/>
      <w:szCs w:val="23"/>
      <w:shd w:val="clear" w:color="auto" w:fill="FFFFFF"/>
    </w:rPr>
  </w:style>
  <w:style w:type="character" w:customStyle="1" w:styleId="Bodytext4Bold">
    <w:name w:val="Body text (4) + Bold"/>
    <w:rsid w:val="006856FD"/>
    <w:rPr>
      <w:rFonts w:ascii="Times New Roman" w:eastAsia="Times New Roman" w:hAnsi="Times New Roman" w:cs="Times New Roman"/>
      <w:b/>
      <w:bCs/>
      <w:i w:val="0"/>
      <w:iCs w:val="0"/>
      <w:smallCaps w:val="0"/>
      <w:strike w:val="0"/>
      <w:spacing w:val="0"/>
      <w:sz w:val="23"/>
      <w:szCs w:val="23"/>
    </w:rPr>
  </w:style>
  <w:style w:type="character" w:customStyle="1" w:styleId="Bodytext4BoldItalic">
    <w:name w:val="Body text (4) + Bold;Italic"/>
    <w:rsid w:val="006856FD"/>
    <w:rPr>
      <w:rFonts w:ascii="Times New Roman" w:eastAsia="Times New Roman" w:hAnsi="Times New Roman" w:cs="Times New Roman"/>
      <w:b/>
      <w:bCs/>
      <w:i/>
      <w:iCs/>
      <w:smallCaps w:val="0"/>
      <w:strike w:val="0"/>
      <w:spacing w:val="0"/>
      <w:sz w:val="23"/>
      <w:szCs w:val="23"/>
    </w:rPr>
  </w:style>
  <w:style w:type="character" w:customStyle="1" w:styleId="Bodytext8">
    <w:name w:val="Body text (8)_"/>
    <w:rsid w:val="006856FD"/>
    <w:rPr>
      <w:rFonts w:ascii="Times New Roman" w:eastAsia="Times New Roman" w:hAnsi="Times New Roman" w:cs="Times New Roman"/>
      <w:b w:val="0"/>
      <w:bCs w:val="0"/>
      <w:i w:val="0"/>
      <w:iCs w:val="0"/>
      <w:smallCaps w:val="0"/>
      <w:strike w:val="0"/>
      <w:spacing w:val="0"/>
      <w:sz w:val="23"/>
      <w:szCs w:val="23"/>
    </w:rPr>
  </w:style>
  <w:style w:type="character" w:customStyle="1" w:styleId="Bodytext80">
    <w:name w:val="Body text (8)"/>
    <w:rsid w:val="006856F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
    <w:name w:val="Body text_"/>
    <w:link w:val="BodyText1"/>
    <w:rsid w:val="006856FD"/>
    <w:rPr>
      <w:sz w:val="24"/>
      <w:szCs w:val="24"/>
      <w:shd w:val="clear" w:color="auto" w:fill="FFFFFF"/>
    </w:rPr>
  </w:style>
  <w:style w:type="paragraph" w:customStyle="1" w:styleId="Bodytext40">
    <w:name w:val="Body text (4)"/>
    <w:basedOn w:val="a"/>
    <w:link w:val="Bodytext4"/>
    <w:rsid w:val="006856FD"/>
    <w:pPr>
      <w:shd w:val="clear" w:color="auto" w:fill="FFFFFF"/>
      <w:spacing w:line="336" w:lineRule="exact"/>
    </w:pPr>
    <w:rPr>
      <w:sz w:val="23"/>
      <w:szCs w:val="23"/>
      <w:lang w:eastAsia="bg-BG"/>
    </w:rPr>
  </w:style>
  <w:style w:type="paragraph" w:customStyle="1" w:styleId="Bodytext70">
    <w:name w:val="Body text (7)"/>
    <w:basedOn w:val="a"/>
    <w:link w:val="Bodytext7"/>
    <w:rsid w:val="006856FD"/>
    <w:pPr>
      <w:shd w:val="clear" w:color="auto" w:fill="FFFFFF"/>
      <w:spacing w:before="300" w:after="300" w:line="274" w:lineRule="exact"/>
      <w:ind w:hanging="340"/>
    </w:pPr>
    <w:rPr>
      <w:sz w:val="23"/>
      <w:szCs w:val="23"/>
      <w:lang w:eastAsia="bg-BG"/>
    </w:rPr>
  </w:style>
  <w:style w:type="paragraph" w:customStyle="1" w:styleId="BodyText1">
    <w:name w:val="Body Text1"/>
    <w:basedOn w:val="a"/>
    <w:link w:val="Bodytext"/>
    <w:rsid w:val="006856FD"/>
    <w:pPr>
      <w:shd w:val="clear" w:color="auto" w:fill="FFFFFF"/>
      <w:spacing w:before="600" w:line="418" w:lineRule="exact"/>
      <w:ind w:firstLine="700"/>
      <w:jc w:val="both"/>
    </w:pPr>
    <w:rPr>
      <w:szCs w:val="24"/>
      <w:lang w:eastAsia="bg-BG"/>
    </w:rPr>
  </w:style>
  <w:style w:type="character" w:customStyle="1" w:styleId="BodytextBold">
    <w:name w:val="Body text + Bold"/>
    <w:rsid w:val="002D7D92"/>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BodyText2">
    <w:name w:val="Body Text2"/>
    <w:basedOn w:val="a"/>
    <w:rsid w:val="002D7D92"/>
    <w:pPr>
      <w:shd w:val="clear" w:color="auto" w:fill="FFFFFF"/>
      <w:spacing w:before="780" w:line="0" w:lineRule="atLeast"/>
      <w:ind w:hanging="420"/>
    </w:pPr>
    <w:rPr>
      <w:color w:val="000000"/>
      <w:szCs w:val="24"/>
      <w:lang w:val="bg" w:eastAsia="bg-BG"/>
    </w:rPr>
  </w:style>
  <w:style w:type="paragraph" w:styleId="ae">
    <w:name w:val="footnote text"/>
    <w:basedOn w:val="a"/>
    <w:link w:val="af"/>
    <w:unhideWhenUsed/>
    <w:rsid w:val="001F7231"/>
    <w:pPr>
      <w:suppressAutoHyphens/>
    </w:pPr>
    <w:rPr>
      <w:rFonts w:ascii="Calibri" w:eastAsia="Calibri" w:hAnsi="Calibri"/>
      <w:sz w:val="20"/>
      <w:lang w:eastAsia="zh-CN"/>
    </w:rPr>
  </w:style>
  <w:style w:type="character" w:customStyle="1" w:styleId="af">
    <w:name w:val="Текст под линия Знак"/>
    <w:link w:val="ae"/>
    <w:rsid w:val="001F7231"/>
    <w:rPr>
      <w:rFonts w:ascii="Calibri" w:eastAsia="Calibri" w:hAnsi="Calibri"/>
      <w:lang w:eastAsia="zh-CN"/>
    </w:rPr>
  </w:style>
  <w:style w:type="character" w:styleId="af0">
    <w:name w:val="footnote reference"/>
    <w:unhideWhenUsed/>
    <w:rsid w:val="001F7231"/>
    <w:rPr>
      <w:vertAlign w:val="superscript"/>
    </w:rPr>
  </w:style>
  <w:style w:type="character" w:styleId="af1">
    <w:name w:val="Hyperlink"/>
    <w:unhideWhenUsed/>
    <w:rsid w:val="001F7231"/>
    <w:rPr>
      <w:color w:val="0000FF"/>
      <w:u w:val="single"/>
    </w:rPr>
  </w:style>
  <w:style w:type="paragraph" w:customStyle="1" w:styleId="Default">
    <w:name w:val="Default"/>
    <w:rsid w:val="0089388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988973">
      <w:bodyDiv w:val="1"/>
      <w:marLeft w:val="240"/>
      <w:marRight w:val="240"/>
      <w:marTop w:val="240"/>
      <w:marBottom w:val="60"/>
      <w:divBdr>
        <w:top w:val="none" w:sz="0" w:space="0" w:color="auto"/>
        <w:left w:val="none" w:sz="0" w:space="0" w:color="auto"/>
        <w:bottom w:val="none" w:sz="0" w:space="0" w:color="auto"/>
        <w:right w:val="none" w:sz="0" w:space="0" w:color="auto"/>
      </w:divBdr>
      <w:divsChild>
        <w:div w:id="1458916595">
          <w:marLeft w:val="0"/>
          <w:marRight w:val="0"/>
          <w:marTop w:val="0"/>
          <w:marBottom w:val="0"/>
          <w:divBdr>
            <w:top w:val="none" w:sz="0" w:space="0" w:color="auto"/>
            <w:left w:val="none" w:sz="0" w:space="0" w:color="auto"/>
            <w:bottom w:val="none" w:sz="0" w:space="0" w:color="auto"/>
            <w:right w:val="none" w:sz="0" w:space="0" w:color="auto"/>
          </w:divBdr>
          <w:divsChild>
            <w:div w:id="11417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8811">
      <w:bodyDiv w:val="1"/>
      <w:marLeft w:val="240"/>
      <w:marRight w:val="240"/>
      <w:marTop w:val="240"/>
      <w:marBottom w:val="60"/>
      <w:divBdr>
        <w:top w:val="none" w:sz="0" w:space="0" w:color="auto"/>
        <w:left w:val="none" w:sz="0" w:space="0" w:color="auto"/>
        <w:bottom w:val="none" w:sz="0" w:space="0" w:color="auto"/>
        <w:right w:val="none" w:sz="0" w:space="0" w:color="auto"/>
      </w:divBdr>
      <w:divsChild>
        <w:div w:id="60567099">
          <w:marLeft w:val="0"/>
          <w:marRight w:val="0"/>
          <w:marTop w:val="0"/>
          <w:marBottom w:val="0"/>
          <w:divBdr>
            <w:top w:val="none" w:sz="0" w:space="0" w:color="auto"/>
            <w:left w:val="none" w:sz="0" w:space="0" w:color="auto"/>
            <w:bottom w:val="none" w:sz="0" w:space="0" w:color="auto"/>
            <w:right w:val="none" w:sz="0" w:space="0" w:color="auto"/>
          </w:divBdr>
        </w:div>
      </w:divsChild>
    </w:div>
    <w:div w:id="1050498793">
      <w:bodyDiv w:val="1"/>
      <w:marLeft w:val="240"/>
      <w:marRight w:val="240"/>
      <w:marTop w:val="240"/>
      <w:marBottom w:val="60"/>
      <w:divBdr>
        <w:top w:val="none" w:sz="0" w:space="0" w:color="auto"/>
        <w:left w:val="none" w:sz="0" w:space="0" w:color="auto"/>
        <w:bottom w:val="none" w:sz="0" w:space="0" w:color="auto"/>
        <w:right w:val="none" w:sz="0" w:space="0" w:color="auto"/>
      </w:divBdr>
    </w:div>
    <w:div w:id="206340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2.xml" /></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3677</Words>
  <Characters>20965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СПРАВКА</vt:lpstr>
    </vt:vector>
  </TitlesOfParts>
  <Company>МИЕТ</Company>
  <LinksUpToDate>false</LinksUpToDate>
  <CharactersWithSpaces>24593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subject/>
  <dc:creator>MEET</dc:creator>
  <cp:keywords/>
  <cp:lastModifiedBy>gerganallazarova@gmail.com</cp:lastModifiedBy>
  <cp:revision>2</cp:revision>
  <cp:lastPrinted>2012-08-24T10:27:00Z</cp:lastPrinted>
  <dcterms:created xsi:type="dcterms:W3CDTF">2023-11-29T07:27:00Z</dcterms:created>
  <dcterms:modified xsi:type="dcterms:W3CDTF">2023-11-29T07:27:00Z</dcterms:modified>
</cp:coreProperties>
</file>