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4D012" w14:textId="14E62299" w:rsidR="002552EF" w:rsidRPr="008A6999" w:rsidRDefault="002552EF" w:rsidP="006D389B">
      <w:pPr>
        <w:rPr>
          <w:rFonts w:ascii="Verdana" w:hAnsi="Verdana"/>
          <w:bCs/>
          <w:caps/>
          <w:sz w:val="20"/>
          <w:szCs w:val="20"/>
          <w:lang w:eastAsia="en-US"/>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bookmarkStart w:id="0" w:name="_GoBack"/>
            <w:r w:rsidRPr="004674B8">
              <w:rPr>
                <w:rFonts w:ascii="Verdana" w:hAnsi="Verdana"/>
                <w:b/>
                <w:spacing w:val="50"/>
              </w:rPr>
              <w:t>СПРАВКА</w:t>
            </w:r>
          </w:p>
          <w:p w14:paraId="31BE240F" w14:textId="0085CF2A" w:rsidR="00E220AD" w:rsidRPr="002C65BA" w:rsidRDefault="00CD02E0" w:rsidP="004674B8">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515FEC" w:rsidRPr="002C65BA">
              <w:rPr>
                <w:rFonts w:ascii="Verdana" w:hAnsi="Verdana"/>
                <w:b/>
                <w:sz w:val="20"/>
                <w:szCs w:val="20"/>
              </w:rPr>
              <w:t xml:space="preserve"> ПО</w:t>
            </w:r>
            <w:r w:rsidRPr="002C65BA">
              <w:rPr>
                <w:rFonts w:ascii="Verdana" w:hAnsi="Verdana"/>
                <w:b/>
                <w:sz w:val="20"/>
                <w:szCs w:val="20"/>
              </w:rPr>
              <w:t xml:space="preserve"> </w:t>
            </w:r>
            <w:r w:rsidR="00515FEC" w:rsidRPr="002C65BA">
              <w:rPr>
                <w:rFonts w:ascii="Verdana" w:hAnsi="Verdana"/>
                <w:b/>
                <w:sz w:val="20"/>
                <w:szCs w:val="20"/>
                <w:lang w:val="ru-RU" w:eastAsia="en-US"/>
              </w:rPr>
              <w:t xml:space="preserve">ПРОЕКТА НА </w:t>
            </w:r>
            <w:r w:rsidR="008E502A" w:rsidRPr="008E502A">
              <w:rPr>
                <w:rFonts w:ascii="Verdana" w:hAnsi="Verdana"/>
                <w:b/>
                <w:sz w:val="20"/>
                <w:szCs w:val="20"/>
                <w:lang w:val="ru-RU" w:eastAsia="en-US"/>
              </w:rPr>
              <w:t>НАРЕДБА ЗА УСЛОВИЯТА И РЕДА ЗА ПРЕДОСТАВЯНЕ НА СПЕШНА ФИНАНСОВА ПОМОЩ НА ЗЕМЕДЕЛСКИ СТОПАНИ, ОТГЛЕЖДАЩИ ЦАРЕВИЦА ЗА ЗЪРНО</w:t>
            </w:r>
            <w:bookmarkEnd w:id="0"/>
          </w:p>
        </w:tc>
      </w:tr>
    </w:tbl>
    <w:p w14:paraId="7708CE7C" w14:textId="77777777" w:rsidR="00230821" w:rsidRPr="00671910" w:rsidRDefault="00230821">
      <w:pPr>
        <w:rPr>
          <w:rFonts w:ascii="Verdana" w:hAnsi="Verdana"/>
          <w:sz w:val="10"/>
          <w:szCs w:val="10"/>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662"/>
        <w:gridCol w:w="6268"/>
        <w:gridCol w:w="1629"/>
        <w:gridCol w:w="4522"/>
      </w:tblGrid>
      <w:tr w:rsidR="00E220AD" w:rsidRPr="00F413E2" w14:paraId="1F91426D" w14:textId="77777777" w:rsidTr="003606C7">
        <w:trPr>
          <w:tblHeader/>
          <w:jc w:val="center"/>
        </w:trPr>
        <w:tc>
          <w:tcPr>
            <w:tcW w:w="569" w:type="dxa"/>
            <w:tcBorders>
              <w:bottom w:val="single" w:sz="18" w:space="0" w:color="2E74B5"/>
              <w:right w:val="single" w:sz="18"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62" w:type="dxa"/>
            <w:tcBorders>
              <w:left w:val="single" w:sz="18" w:space="0" w:color="2E74B5"/>
              <w:bottom w:val="single" w:sz="18" w:space="0" w:color="2E74B5"/>
              <w:right w:val="single" w:sz="18"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68" w:type="dxa"/>
            <w:tcBorders>
              <w:left w:val="single" w:sz="18" w:space="0" w:color="2E74B5"/>
              <w:bottom w:val="single" w:sz="18" w:space="0" w:color="2E74B5"/>
              <w:right w:val="single" w:sz="18"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left w:val="single" w:sz="18" w:space="0" w:color="2E74B5"/>
              <w:bottom w:val="single" w:sz="18" w:space="0" w:color="2E74B5"/>
              <w:right w:val="single" w:sz="18"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left w:val="single" w:sz="18" w:space="0" w:color="2E74B5"/>
              <w:bottom w:val="single" w:sz="18"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15266F" w:rsidRPr="00F413E2" w14:paraId="7ADF8E27" w14:textId="77777777" w:rsidTr="006F374D">
        <w:trPr>
          <w:trHeight w:val="245"/>
          <w:jc w:val="center"/>
        </w:trPr>
        <w:tc>
          <w:tcPr>
            <w:tcW w:w="569" w:type="dxa"/>
            <w:tcBorders>
              <w:top w:val="single" w:sz="18" w:space="0" w:color="2E74B5"/>
              <w:bottom w:val="nil"/>
              <w:right w:val="single" w:sz="18" w:space="0" w:color="2E74B5"/>
            </w:tcBorders>
            <w:shd w:val="clear" w:color="auto" w:fill="auto"/>
          </w:tcPr>
          <w:p w14:paraId="7D200410" w14:textId="31BAFFD2" w:rsidR="0015266F" w:rsidRPr="00984A42" w:rsidRDefault="0015266F" w:rsidP="008A6999">
            <w:pPr>
              <w:pStyle w:val="ListParagraph"/>
              <w:numPr>
                <w:ilvl w:val="0"/>
                <w:numId w:val="34"/>
              </w:numPr>
              <w:tabs>
                <w:tab w:val="left" w:pos="192"/>
              </w:tabs>
              <w:spacing w:before="80" w:after="40"/>
              <w:rPr>
                <w:rFonts w:ascii="Verdana" w:hAnsi="Verdana"/>
                <w:b/>
                <w:sz w:val="20"/>
                <w:szCs w:val="20"/>
              </w:rPr>
            </w:pPr>
          </w:p>
        </w:tc>
        <w:tc>
          <w:tcPr>
            <w:tcW w:w="2662" w:type="dxa"/>
            <w:vMerge w:val="restart"/>
            <w:tcBorders>
              <w:top w:val="single" w:sz="18" w:space="0" w:color="2E74B5"/>
              <w:left w:val="single" w:sz="18" w:space="0" w:color="2E74B5"/>
              <w:right w:val="single" w:sz="18" w:space="0" w:color="2E74B5"/>
            </w:tcBorders>
            <w:shd w:val="clear" w:color="auto" w:fill="auto"/>
          </w:tcPr>
          <w:p w14:paraId="4F9CB81D" w14:textId="74CE0428" w:rsidR="0015266F" w:rsidRPr="00593C01" w:rsidRDefault="0015266F" w:rsidP="008A6999">
            <w:pPr>
              <w:spacing w:before="80" w:after="40"/>
              <w:rPr>
                <w:rFonts w:ascii="Verdana" w:hAnsi="Verdana"/>
                <w:spacing w:val="-2"/>
                <w:sz w:val="20"/>
                <w:szCs w:val="20"/>
              </w:rPr>
            </w:pPr>
            <w:r>
              <w:rPr>
                <w:rFonts w:ascii="Verdana" w:hAnsi="Verdana"/>
                <w:spacing w:val="-2"/>
                <w:sz w:val="20"/>
                <w:szCs w:val="20"/>
              </w:rPr>
              <w:t xml:space="preserve">Земеделска </w:t>
            </w:r>
            <w:proofErr w:type="spellStart"/>
            <w:r>
              <w:rPr>
                <w:rFonts w:ascii="Verdana" w:hAnsi="Verdana"/>
                <w:spacing w:val="-2"/>
                <w:sz w:val="20"/>
                <w:szCs w:val="20"/>
              </w:rPr>
              <w:t>коооперация</w:t>
            </w:r>
            <w:proofErr w:type="spellEnd"/>
            <w:r>
              <w:rPr>
                <w:rFonts w:ascii="Verdana" w:hAnsi="Verdana"/>
                <w:spacing w:val="-2"/>
                <w:sz w:val="20"/>
                <w:szCs w:val="20"/>
              </w:rPr>
              <w:t xml:space="preserve"> „Зора“ – село Павел</w:t>
            </w:r>
            <w:r w:rsidR="008A6999">
              <w:rPr>
                <w:rFonts w:ascii="Verdana" w:hAnsi="Verdana"/>
                <w:spacing w:val="-2"/>
                <w:sz w:val="20"/>
                <w:szCs w:val="20"/>
              </w:rPr>
              <w:br/>
            </w:r>
            <w:r>
              <w:rPr>
                <w:rFonts w:ascii="Verdana" w:hAnsi="Verdana"/>
                <w:spacing w:val="-2"/>
                <w:sz w:val="20"/>
                <w:szCs w:val="20"/>
              </w:rPr>
              <w:t>инж. Илия Илиев</w:t>
            </w:r>
          </w:p>
          <w:p w14:paraId="5048E69A" w14:textId="71878D6F" w:rsidR="0015266F" w:rsidRDefault="0015266F" w:rsidP="00F206BD">
            <w:pPr>
              <w:spacing w:before="40" w:after="40"/>
              <w:rPr>
                <w:rFonts w:ascii="Verdana" w:hAnsi="Verdana"/>
                <w:spacing w:val="-2"/>
                <w:sz w:val="20"/>
                <w:szCs w:val="20"/>
              </w:rPr>
            </w:pPr>
            <w:r w:rsidRPr="00984A42">
              <w:rPr>
                <w:rFonts w:ascii="Verdana" w:hAnsi="Verdana"/>
                <w:spacing w:val="-2"/>
                <w:sz w:val="20"/>
                <w:szCs w:val="20"/>
              </w:rPr>
              <w:t>(</w:t>
            </w:r>
            <w:r w:rsidR="00F206BD">
              <w:rPr>
                <w:rFonts w:ascii="Verdana" w:hAnsi="Verdana"/>
                <w:spacing w:val="-2"/>
                <w:sz w:val="20"/>
                <w:szCs w:val="20"/>
              </w:rPr>
              <w:t xml:space="preserve">становище </w:t>
            </w:r>
            <w:r>
              <w:rPr>
                <w:rFonts w:ascii="Verdana" w:hAnsi="Verdana"/>
                <w:spacing w:val="-2"/>
                <w:sz w:val="20"/>
                <w:szCs w:val="20"/>
              </w:rPr>
              <w:t>№ 39-2 от 11 февруари 2025</w:t>
            </w:r>
            <w:r w:rsidRPr="00984A42">
              <w:rPr>
                <w:rFonts w:ascii="Verdana" w:hAnsi="Verdana"/>
                <w:spacing w:val="-2"/>
                <w:sz w:val="20"/>
                <w:szCs w:val="20"/>
              </w:rPr>
              <w:t xml:space="preserve"> г.)</w:t>
            </w:r>
          </w:p>
        </w:tc>
        <w:tc>
          <w:tcPr>
            <w:tcW w:w="6268" w:type="dxa"/>
            <w:tcBorders>
              <w:top w:val="single" w:sz="18" w:space="0" w:color="2E74B5"/>
              <w:left w:val="single" w:sz="18" w:space="0" w:color="2E74B5"/>
              <w:bottom w:val="nil"/>
              <w:right w:val="single" w:sz="18" w:space="0" w:color="2E74B5"/>
            </w:tcBorders>
            <w:shd w:val="clear" w:color="auto" w:fill="auto"/>
          </w:tcPr>
          <w:p w14:paraId="17C3877A" w14:textId="42C226D1" w:rsidR="0015266F" w:rsidRPr="006F374D" w:rsidRDefault="0015266F" w:rsidP="0015266F">
            <w:pPr>
              <w:spacing w:before="80" w:after="40"/>
              <w:jc w:val="both"/>
              <w:rPr>
                <w:rFonts w:ascii="Verdana" w:hAnsi="Verdana"/>
                <w:spacing w:val="-4"/>
                <w:sz w:val="20"/>
                <w:szCs w:val="20"/>
              </w:rPr>
            </w:pPr>
            <w:r w:rsidRPr="006F374D">
              <w:rPr>
                <w:rFonts w:ascii="Verdana" w:hAnsi="Verdana"/>
                <w:spacing w:val="-4"/>
                <w:sz w:val="20"/>
                <w:szCs w:val="20"/>
              </w:rPr>
              <w:t>Настоящото писмо съдържа няколко раздела както следва:</w:t>
            </w:r>
          </w:p>
        </w:tc>
        <w:tc>
          <w:tcPr>
            <w:tcW w:w="1629" w:type="dxa"/>
            <w:tcBorders>
              <w:top w:val="single" w:sz="18" w:space="0" w:color="2E74B5"/>
              <w:left w:val="single" w:sz="18" w:space="0" w:color="2E74B5"/>
              <w:bottom w:val="nil"/>
              <w:right w:val="single" w:sz="18" w:space="0" w:color="2E74B5"/>
            </w:tcBorders>
            <w:shd w:val="clear" w:color="auto" w:fill="auto"/>
          </w:tcPr>
          <w:p w14:paraId="43310B84" w14:textId="77777777" w:rsidR="0015266F" w:rsidRPr="004674B8" w:rsidRDefault="0015266F" w:rsidP="00373B55">
            <w:pPr>
              <w:spacing w:before="80" w:after="40"/>
              <w:rPr>
                <w:rFonts w:ascii="Verdana" w:hAnsi="Verdana"/>
                <w:sz w:val="20"/>
                <w:szCs w:val="20"/>
              </w:rPr>
            </w:pPr>
          </w:p>
        </w:tc>
        <w:tc>
          <w:tcPr>
            <w:tcW w:w="4522" w:type="dxa"/>
            <w:tcBorders>
              <w:top w:val="single" w:sz="18" w:space="0" w:color="2E74B5"/>
              <w:left w:val="single" w:sz="18" w:space="0" w:color="2E74B5"/>
              <w:bottom w:val="nil"/>
            </w:tcBorders>
            <w:shd w:val="clear" w:color="auto" w:fill="auto"/>
          </w:tcPr>
          <w:p w14:paraId="4B93A9A2" w14:textId="4082B26F" w:rsidR="0015266F" w:rsidRPr="004674B8" w:rsidRDefault="0015266F" w:rsidP="00373B55">
            <w:pPr>
              <w:spacing w:before="80" w:after="40"/>
              <w:rPr>
                <w:rFonts w:ascii="Verdana" w:hAnsi="Verdana"/>
                <w:sz w:val="20"/>
                <w:szCs w:val="20"/>
              </w:rPr>
            </w:pPr>
          </w:p>
        </w:tc>
      </w:tr>
      <w:tr w:rsidR="0015266F" w:rsidRPr="00F413E2" w14:paraId="3A0FE7D8" w14:textId="77777777" w:rsidTr="003606C7">
        <w:trPr>
          <w:trHeight w:val="725"/>
          <w:jc w:val="center"/>
        </w:trPr>
        <w:tc>
          <w:tcPr>
            <w:tcW w:w="569" w:type="dxa"/>
            <w:tcBorders>
              <w:top w:val="nil"/>
              <w:bottom w:val="nil"/>
              <w:right w:val="single" w:sz="18" w:space="0" w:color="2E74B5"/>
            </w:tcBorders>
            <w:shd w:val="clear" w:color="auto" w:fill="auto"/>
          </w:tcPr>
          <w:p w14:paraId="636DB8E3" w14:textId="77777777" w:rsidR="0015266F" w:rsidRPr="00984A42" w:rsidRDefault="0015266F" w:rsidP="00373B55">
            <w:pPr>
              <w:pStyle w:val="ListParagraph"/>
              <w:tabs>
                <w:tab w:val="left" w:pos="192"/>
              </w:tabs>
              <w:spacing w:before="80" w:after="40"/>
              <w:ind w:left="414"/>
              <w:rPr>
                <w:rFonts w:ascii="Verdana" w:hAnsi="Verdana"/>
                <w:b/>
                <w:sz w:val="20"/>
                <w:szCs w:val="20"/>
              </w:rPr>
            </w:pPr>
          </w:p>
        </w:tc>
        <w:tc>
          <w:tcPr>
            <w:tcW w:w="2662" w:type="dxa"/>
            <w:vMerge/>
            <w:tcBorders>
              <w:left w:val="single" w:sz="18" w:space="0" w:color="2E74B5"/>
              <w:bottom w:val="nil"/>
              <w:right w:val="single" w:sz="18" w:space="0" w:color="2E74B5"/>
            </w:tcBorders>
            <w:shd w:val="clear" w:color="auto" w:fill="auto"/>
          </w:tcPr>
          <w:p w14:paraId="035AB52F" w14:textId="77777777" w:rsidR="0015266F" w:rsidRDefault="0015266F" w:rsidP="00373B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08DC4BF0" w14:textId="77777777" w:rsidR="0015266F" w:rsidRPr="006F374D" w:rsidRDefault="0015266F" w:rsidP="00373B55">
            <w:pPr>
              <w:spacing w:before="80" w:after="40"/>
              <w:jc w:val="both"/>
              <w:rPr>
                <w:rFonts w:ascii="Verdana" w:hAnsi="Verdana"/>
                <w:spacing w:val="-4"/>
                <w:sz w:val="20"/>
                <w:szCs w:val="20"/>
              </w:rPr>
            </w:pPr>
            <w:r w:rsidRPr="006F374D">
              <w:rPr>
                <w:rFonts w:ascii="Verdana" w:hAnsi="Verdana"/>
                <w:spacing w:val="-4"/>
                <w:sz w:val="20"/>
                <w:szCs w:val="20"/>
              </w:rPr>
              <w:t>Раздел А относно проекта на Наредба за условията и реда за предоставяне на спешна финансова помощ на земеделски стопани, отглеждащи царевица за зърно.</w:t>
            </w:r>
          </w:p>
          <w:p w14:paraId="49E581F3" w14:textId="01C53665" w:rsidR="008F2B7E" w:rsidRPr="006F374D" w:rsidRDefault="008F2B7E" w:rsidP="00373B55">
            <w:pPr>
              <w:spacing w:before="80" w:after="40"/>
              <w:jc w:val="both"/>
              <w:rPr>
                <w:rFonts w:ascii="Verdana" w:hAnsi="Verdana"/>
                <w:spacing w:val="-4"/>
                <w:sz w:val="20"/>
                <w:szCs w:val="20"/>
              </w:rPr>
            </w:pPr>
            <w:r w:rsidRPr="006F374D">
              <w:rPr>
                <w:rFonts w:ascii="Verdana" w:hAnsi="Verdana"/>
                <w:spacing w:val="-4"/>
                <w:sz w:val="20"/>
                <w:szCs w:val="20"/>
              </w:rPr>
              <w:t>Предложението ми е да се скъсят сроковете за помощта. С един месец да се скъси помощта от ЕС до 31.03.2025 г. и от българския бюджет до 14.05.2025 г. Мотивите са, че наредбата е наречена спешна и парите са необходими сега.</w:t>
            </w:r>
          </w:p>
        </w:tc>
        <w:tc>
          <w:tcPr>
            <w:tcW w:w="1629" w:type="dxa"/>
            <w:tcBorders>
              <w:top w:val="nil"/>
              <w:left w:val="single" w:sz="18" w:space="0" w:color="2E74B5"/>
              <w:bottom w:val="nil"/>
              <w:right w:val="single" w:sz="18" w:space="0" w:color="2E74B5"/>
            </w:tcBorders>
            <w:shd w:val="clear" w:color="auto" w:fill="auto"/>
          </w:tcPr>
          <w:p w14:paraId="04B711C3" w14:textId="55E53E52" w:rsidR="0015266F" w:rsidRPr="0045662D" w:rsidRDefault="000C0A61" w:rsidP="00BC2C53">
            <w:pPr>
              <w:spacing w:before="80" w:after="40"/>
              <w:rPr>
                <w:rFonts w:ascii="Verdana" w:hAnsi="Verdana"/>
                <w:color w:val="FF0000"/>
                <w:sz w:val="20"/>
                <w:szCs w:val="20"/>
              </w:rPr>
            </w:pPr>
            <w:r w:rsidRPr="008F2D55">
              <w:rPr>
                <w:rFonts w:ascii="Verdana" w:hAnsi="Verdana"/>
                <w:sz w:val="20"/>
                <w:szCs w:val="20"/>
              </w:rPr>
              <w:t>Н</w:t>
            </w:r>
            <w:r w:rsidR="008F2B7E" w:rsidRPr="008F2D5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7E310814" w14:textId="71042616" w:rsidR="0015266F" w:rsidRPr="004674B8" w:rsidRDefault="008F2D55" w:rsidP="007023DB">
            <w:pPr>
              <w:spacing w:before="80" w:after="40"/>
              <w:jc w:val="both"/>
              <w:rPr>
                <w:rFonts w:ascii="Verdana" w:hAnsi="Verdana"/>
                <w:sz w:val="20"/>
                <w:szCs w:val="20"/>
              </w:rPr>
            </w:pPr>
            <w:r>
              <w:rPr>
                <w:rFonts w:ascii="Verdana" w:hAnsi="Verdana"/>
                <w:sz w:val="20"/>
                <w:szCs w:val="20"/>
              </w:rPr>
              <w:t xml:space="preserve">В проекта на наредба са предвидени крайни срокове за изплащане на помощта в съответствие с разпоредбите на член 1, параграф 6 и параграф 8 от </w:t>
            </w:r>
            <w:r w:rsidRPr="000C0A61">
              <w:rPr>
                <w:rFonts w:ascii="Verdana" w:hAnsi="Verdana"/>
                <w:sz w:val="20"/>
                <w:szCs w:val="20"/>
              </w:rPr>
              <w:t>Регламент за изпълнение (ЕС) 2024/2675 на Комисията</w:t>
            </w:r>
            <w:r>
              <w:rPr>
                <w:rFonts w:ascii="Verdana" w:hAnsi="Verdana"/>
                <w:sz w:val="20"/>
                <w:szCs w:val="20"/>
              </w:rPr>
              <w:t xml:space="preserve">. Тяхната продължителност и съответна дата на изтичане са определени при максимално скъсени срокове за провеждане на прием на </w:t>
            </w:r>
            <w:proofErr w:type="spellStart"/>
            <w:r>
              <w:rPr>
                <w:rFonts w:ascii="Verdana" w:hAnsi="Verdana"/>
                <w:sz w:val="20"/>
                <w:szCs w:val="20"/>
              </w:rPr>
              <w:t>зявления</w:t>
            </w:r>
            <w:proofErr w:type="spellEnd"/>
            <w:r>
              <w:rPr>
                <w:rFonts w:ascii="Verdana" w:hAnsi="Verdana"/>
                <w:sz w:val="20"/>
                <w:szCs w:val="20"/>
              </w:rPr>
              <w:t xml:space="preserve"> и тяхното разглеждане, вкл. извършване на задължителни административни проверки с оглед преценка за допустимост.</w:t>
            </w:r>
          </w:p>
        </w:tc>
      </w:tr>
      <w:tr w:rsidR="00AA035C" w:rsidRPr="00F413E2" w14:paraId="0349F793" w14:textId="77777777" w:rsidTr="003606C7">
        <w:trPr>
          <w:trHeight w:val="725"/>
          <w:jc w:val="center"/>
        </w:trPr>
        <w:tc>
          <w:tcPr>
            <w:tcW w:w="569" w:type="dxa"/>
            <w:tcBorders>
              <w:top w:val="nil"/>
              <w:bottom w:val="nil"/>
              <w:right w:val="single" w:sz="18" w:space="0" w:color="2E74B5"/>
            </w:tcBorders>
            <w:shd w:val="clear" w:color="auto" w:fill="auto"/>
          </w:tcPr>
          <w:p w14:paraId="6D87193B" w14:textId="77777777" w:rsidR="00AA035C" w:rsidRPr="00984A42" w:rsidRDefault="00AA035C" w:rsidP="00373B55">
            <w:pPr>
              <w:pStyle w:val="ListParagraph"/>
              <w:tabs>
                <w:tab w:val="left" w:pos="192"/>
              </w:tabs>
              <w:spacing w:before="80" w:after="40"/>
              <w:ind w:left="414"/>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72DFD987" w14:textId="77777777" w:rsidR="00AA035C" w:rsidRDefault="00AA035C" w:rsidP="00373B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4A96DF5C" w14:textId="247DB0BC" w:rsidR="00AA035C" w:rsidRPr="006F374D" w:rsidRDefault="003635FA" w:rsidP="00373B55">
            <w:pPr>
              <w:spacing w:before="80" w:after="40"/>
              <w:jc w:val="both"/>
              <w:rPr>
                <w:rFonts w:ascii="Verdana" w:hAnsi="Verdana"/>
                <w:spacing w:val="-4"/>
                <w:sz w:val="20"/>
                <w:szCs w:val="20"/>
              </w:rPr>
            </w:pPr>
            <w:r w:rsidRPr="006F374D">
              <w:rPr>
                <w:rFonts w:ascii="Verdana" w:hAnsi="Verdana"/>
                <w:spacing w:val="-4"/>
                <w:sz w:val="20"/>
                <w:szCs w:val="20"/>
              </w:rPr>
              <w:t>Раздел Б о</w:t>
            </w:r>
            <w:r w:rsidR="008F2B7E" w:rsidRPr="006F374D">
              <w:rPr>
                <w:rFonts w:ascii="Verdana" w:hAnsi="Verdana"/>
                <w:spacing w:val="-4"/>
                <w:sz w:val="20"/>
                <w:szCs w:val="20"/>
              </w:rPr>
              <w:t>тносно разпределение на субсидиите.</w:t>
            </w:r>
          </w:p>
          <w:p w14:paraId="10A8FBDE" w14:textId="177661AD" w:rsidR="008F2B7E" w:rsidRPr="006F374D" w:rsidRDefault="008F2B7E" w:rsidP="008A6999">
            <w:pPr>
              <w:spacing w:before="80" w:after="40"/>
              <w:jc w:val="both"/>
              <w:rPr>
                <w:rFonts w:ascii="Verdana" w:hAnsi="Verdana"/>
                <w:spacing w:val="-4"/>
                <w:sz w:val="20"/>
                <w:szCs w:val="20"/>
              </w:rPr>
            </w:pPr>
            <w:r w:rsidRPr="006F374D">
              <w:rPr>
                <w:rFonts w:ascii="Verdana" w:hAnsi="Verdana"/>
                <w:spacing w:val="-4"/>
                <w:sz w:val="20"/>
                <w:szCs w:val="20"/>
              </w:rPr>
              <w:t xml:space="preserve">Тъй като се дават данни, че 80 процента от субсидиите се вземат от 20 процента от земеделците, което означава малките </w:t>
            </w:r>
            <w:proofErr w:type="spellStart"/>
            <w:r w:rsidRPr="006F374D">
              <w:rPr>
                <w:rFonts w:ascii="Verdana" w:hAnsi="Verdana"/>
                <w:spacing w:val="-4"/>
                <w:sz w:val="20"/>
                <w:szCs w:val="20"/>
              </w:rPr>
              <w:t>бенифициенти</w:t>
            </w:r>
            <w:proofErr w:type="spellEnd"/>
            <w:r w:rsidRPr="006F374D">
              <w:rPr>
                <w:rFonts w:ascii="Verdana" w:hAnsi="Verdana"/>
                <w:spacing w:val="-4"/>
                <w:sz w:val="20"/>
                <w:szCs w:val="20"/>
              </w:rPr>
              <w:t xml:space="preserve"> вземат много малка част от субсидиите. В миналогодишното разпределение на субсидиите, поради обстановката в Украйна беше записано правилото, че земеделци с обработваема площ до 3 хил. дка получават 20 лв./дка, от 3 до10 хил. дка – 10 лв./дка и над 10 хил. дка – 5лв./дка. Общо взето всички засегнати лица бяха съгласни, като подчертавам, че най-много да се дадат на най-малките. Така дадените субсидии бяха в пропорция 4/7, 2/7 и 1/7 за съответната група, което прави в проценти </w:t>
            </w:r>
            <w:r w:rsidRPr="006F374D">
              <w:rPr>
                <w:rFonts w:ascii="Verdana" w:hAnsi="Verdana"/>
                <w:spacing w:val="-4"/>
                <w:sz w:val="20"/>
                <w:szCs w:val="20"/>
              </w:rPr>
              <w:lastRenderedPageBreak/>
              <w:t>57,29 и 14. Това съотношение е по-</w:t>
            </w:r>
            <w:proofErr w:type="spellStart"/>
            <w:r w:rsidRPr="006F374D">
              <w:rPr>
                <w:rFonts w:ascii="Verdana" w:hAnsi="Verdana"/>
                <w:spacing w:val="-4"/>
                <w:sz w:val="20"/>
                <w:szCs w:val="20"/>
              </w:rPr>
              <w:t>неблагопиятно</w:t>
            </w:r>
            <w:proofErr w:type="spellEnd"/>
            <w:r w:rsidRPr="006F374D">
              <w:rPr>
                <w:rFonts w:ascii="Verdana" w:hAnsi="Verdana"/>
                <w:spacing w:val="-4"/>
                <w:sz w:val="20"/>
                <w:szCs w:val="20"/>
              </w:rPr>
              <w:t xml:space="preserve"> от моето предложение</w:t>
            </w:r>
            <w:r w:rsidR="008A6999" w:rsidRPr="006F374D">
              <w:rPr>
                <w:rFonts w:ascii="Verdana" w:hAnsi="Verdana"/>
                <w:spacing w:val="-4"/>
                <w:sz w:val="20"/>
                <w:szCs w:val="20"/>
              </w:rPr>
              <w:t>,</w:t>
            </w:r>
            <w:r w:rsidRPr="006F374D">
              <w:rPr>
                <w:rFonts w:ascii="Verdana" w:hAnsi="Verdana"/>
                <w:spacing w:val="-4"/>
                <w:sz w:val="20"/>
                <w:szCs w:val="20"/>
              </w:rPr>
              <w:t xml:space="preserve"> което е 40% от субсидиите да се дадат на тези 80% от фирмите които вземаха 20% (вероятно до З хил. дка). Останалите 60% за другите (може да бъде приложено диференциация). В помощ на моето предложение е и статистиката за Европейския съюз, че 90% от </w:t>
            </w:r>
            <w:proofErr w:type="spellStart"/>
            <w:r w:rsidRPr="006F374D">
              <w:rPr>
                <w:rFonts w:ascii="Verdana" w:hAnsi="Verdana"/>
                <w:spacing w:val="-4"/>
                <w:sz w:val="20"/>
                <w:szCs w:val="20"/>
              </w:rPr>
              <w:t>предпиятията</w:t>
            </w:r>
            <w:proofErr w:type="spellEnd"/>
            <w:r w:rsidRPr="006F374D">
              <w:rPr>
                <w:rFonts w:ascii="Verdana" w:hAnsi="Verdana"/>
                <w:spacing w:val="-4"/>
                <w:sz w:val="20"/>
                <w:szCs w:val="20"/>
              </w:rPr>
              <w:t xml:space="preserve"> са малки. На тях трябва да се увеличи подпомагането за да не фалират, не уволняват работници, да са стабилни и да натрупат резерв за по-</w:t>
            </w:r>
            <w:proofErr w:type="spellStart"/>
            <w:r w:rsidRPr="006F374D">
              <w:rPr>
                <w:rFonts w:ascii="Verdana" w:hAnsi="Verdana"/>
                <w:spacing w:val="-4"/>
                <w:sz w:val="20"/>
                <w:szCs w:val="20"/>
              </w:rPr>
              <w:t>неблагопиятни</w:t>
            </w:r>
            <w:proofErr w:type="spellEnd"/>
            <w:r w:rsidRPr="006F374D">
              <w:rPr>
                <w:rFonts w:ascii="Verdana" w:hAnsi="Verdana"/>
                <w:spacing w:val="-4"/>
                <w:sz w:val="20"/>
                <w:szCs w:val="20"/>
              </w:rPr>
              <w:t xml:space="preserve"> стопански години.</w:t>
            </w:r>
          </w:p>
        </w:tc>
        <w:tc>
          <w:tcPr>
            <w:tcW w:w="1629" w:type="dxa"/>
            <w:tcBorders>
              <w:top w:val="nil"/>
              <w:left w:val="single" w:sz="18" w:space="0" w:color="2E74B5"/>
              <w:bottom w:val="nil"/>
              <w:right w:val="single" w:sz="18" w:space="0" w:color="2E74B5"/>
            </w:tcBorders>
            <w:shd w:val="clear" w:color="auto" w:fill="auto"/>
          </w:tcPr>
          <w:p w14:paraId="3DD335D0" w14:textId="5CF0C085" w:rsidR="00AA035C" w:rsidRPr="0045662D" w:rsidRDefault="008F2D55" w:rsidP="00BC2C53">
            <w:pPr>
              <w:spacing w:before="80" w:after="40"/>
              <w:rPr>
                <w:rFonts w:ascii="Verdana" w:hAnsi="Verdana"/>
                <w:color w:val="FF0000"/>
                <w:sz w:val="20"/>
                <w:szCs w:val="20"/>
              </w:rPr>
            </w:pPr>
            <w:r w:rsidRPr="008F2D55">
              <w:rPr>
                <w:rFonts w:ascii="Verdana" w:hAnsi="Verdana"/>
                <w:sz w:val="20"/>
                <w:szCs w:val="20"/>
              </w:rPr>
              <w:lastRenderedPageBreak/>
              <w:t>Не се приема</w:t>
            </w:r>
          </w:p>
        </w:tc>
        <w:tc>
          <w:tcPr>
            <w:tcW w:w="4522" w:type="dxa"/>
            <w:tcBorders>
              <w:top w:val="nil"/>
              <w:left w:val="single" w:sz="18" w:space="0" w:color="2E74B5"/>
              <w:bottom w:val="nil"/>
            </w:tcBorders>
            <w:shd w:val="clear" w:color="auto" w:fill="auto"/>
          </w:tcPr>
          <w:p w14:paraId="6AC42EF2" w14:textId="3761EAA3" w:rsidR="00AA035C" w:rsidRPr="004674B8" w:rsidRDefault="008F2D55" w:rsidP="007023DB">
            <w:pPr>
              <w:spacing w:before="80" w:after="40"/>
              <w:jc w:val="both"/>
              <w:rPr>
                <w:rFonts w:ascii="Verdana" w:hAnsi="Verdana"/>
                <w:sz w:val="20"/>
                <w:szCs w:val="20"/>
              </w:rPr>
            </w:pPr>
            <w:r>
              <w:rPr>
                <w:rFonts w:ascii="Verdana" w:hAnsi="Verdana"/>
                <w:sz w:val="20"/>
                <w:szCs w:val="20"/>
              </w:rPr>
              <w:t>Няма отношение към публикувания за обществена консултация проект на нормативен акт.</w:t>
            </w:r>
          </w:p>
        </w:tc>
      </w:tr>
      <w:tr w:rsidR="008F2D55" w:rsidRPr="00F413E2" w14:paraId="4C49A506" w14:textId="77777777" w:rsidTr="003606C7">
        <w:trPr>
          <w:trHeight w:val="489"/>
          <w:jc w:val="center"/>
        </w:trPr>
        <w:tc>
          <w:tcPr>
            <w:tcW w:w="569" w:type="dxa"/>
            <w:tcBorders>
              <w:top w:val="nil"/>
              <w:bottom w:val="nil"/>
              <w:right w:val="single" w:sz="18" w:space="0" w:color="2E74B5"/>
            </w:tcBorders>
            <w:shd w:val="clear" w:color="auto" w:fill="auto"/>
          </w:tcPr>
          <w:p w14:paraId="30830397" w14:textId="77777777" w:rsidR="008F2D55" w:rsidRPr="00984A42" w:rsidRDefault="008F2D55" w:rsidP="008F2D55">
            <w:pPr>
              <w:pStyle w:val="ListParagraph"/>
              <w:tabs>
                <w:tab w:val="left" w:pos="192"/>
              </w:tabs>
              <w:spacing w:before="80" w:after="40"/>
              <w:ind w:left="414"/>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2D2D7B24"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44D9F243" w14:textId="45D984B2"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 xml:space="preserve">Раздел В относно наем/аренда на ниви. Рентата, която се дава не отговаря на реалната печалба на фирмите, при лоша стопанска година. Големите земеделски производители имат много собствена земя и работят в много землища. По </w:t>
            </w:r>
            <w:proofErr w:type="spellStart"/>
            <w:r w:rsidRPr="006F374D">
              <w:rPr>
                <w:rFonts w:ascii="Verdana" w:hAnsi="Verdana"/>
                <w:spacing w:val="-4"/>
                <w:sz w:val="20"/>
                <w:szCs w:val="20"/>
              </w:rPr>
              <w:t>тъкъв</w:t>
            </w:r>
            <w:proofErr w:type="spellEnd"/>
            <w:r w:rsidRPr="006F374D">
              <w:rPr>
                <w:rFonts w:ascii="Verdana" w:hAnsi="Verdana"/>
                <w:spacing w:val="-4"/>
                <w:sz w:val="20"/>
                <w:szCs w:val="20"/>
              </w:rPr>
              <w:t xml:space="preserve"> начин се появява изкривяване на пазара и може да се прехвърля печалбата от едно землище на друго. Също така се прехвърля от собствените ниви печалбата и рентата, за да се покрие наема на наетите ниви, без да се натоварва земеделеца. От практиката се доказва че максималната рента не трябва да бъде по-голяма от 50 до 60 лв./дка за България </w:t>
            </w:r>
            <w:r w:rsidRPr="006F374D">
              <w:rPr>
                <w:rFonts w:ascii="Verdana" w:hAnsi="Verdana"/>
                <w:spacing w:val="-4"/>
                <w:sz w:val="20"/>
                <w:szCs w:val="20"/>
                <w:lang w:val="en-US"/>
              </w:rPr>
              <w:t>(</w:t>
            </w:r>
            <w:r w:rsidRPr="006F374D">
              <w:rPr>
                <w:rFonts w:ascii="Verdana" w:hAnsi="Verdana"/>
                <w:spacing w:val="-4"/>
                <w:sz w:val="20"/>
                <w:szCs w:val="20"/>
              </w:rPr>
              <w:t xml:space="preserve">справка Филип </w:t>
            </w:r>
            <w:proofErr w:type="spellStart"/>
            <w:r w:rsidRPr="006F374D">
              <w:rPr>
                <w:rFonts w:ascii="Verdana" w:hAnsi="Verdana"/>
                <w:spacing w:val="-4"/>
                <w:sz w:val="20"/>
                <w:szCs w:val="20"/>
              </w:rPr>
              <w:t>Ромбаут</w:t>
            </w:r>
            <w:proofErr w:type="spellEnd"/>
            <w:r w:rsidRPr="006F374D">
              <w:rPr>
                <w:rFonts w:ascii="Verdana" w:hAnsi="Verdana"/>
                <w:spacing w:val="-4"/>
                <w:sz w:val="20"/>
                <w:szCs w:val="20"/>
              </w:rPr>
              <w:t xml:space="preserve"> – изпълнителен директор на „Агрополихим“ АД, който съобщава че рентата във Франция е 50 лева</w:t>
            </w:r>
            <w:r w:rsidRPr="006F374D">
              <w:rPr>
                <w:rFonts w:ascii="Verdana" w:hAnsi="Verdana"/>
                <w:spacing w:val="-4"/>
                <w:sz w:val="20"/>
                <w:szCs w:val="20"/>
                <w:lang w:val="en-US"/>
              </w:rPr>
              <w:t>)</w:t>
            </w:r>
            <w:r w:rsidRPr="006F374D">
              <w:rPr>
                <w:rFonts w:ascii="Verdana" w:hAnsi="Verdana"/>
                <w:spacing w:val="-4"/>
                <w:sz w:val="20"/>
                <w:szCs w:val="20"/>
              </w:rPr>
              <w:t>.</w:t>
            </w:r>
            <w:r w:rsidRPr="006F374D">
              <w:rPr>
                <w:rFonts w:ascii="Verdana" w:hAnsi="Verdana"/>
                <w:spacing w:val="-4"/>
                <w:sz w:val="20"/>
                <w:szCs w:val="20"/>
                <w:lang w:val="en-US"/>
              </w:rPr>
              <w:t xml:space="preserve"> </w:t>
            </w:r>
            <w:r w:rsidRPr="006F374D">
              <w:rPr>
                <w:rFonts w:ascii="Verdana" w:hAnsi="Verdana"/>
                <w:spacing w:val="-4"/>
                <w:sz w:val="20"/>
                <w:szCs w:val="20"/>
              </w:rPr>
              <w:t xml:space="preserve">В Западна Европа въпросът е решен и остава да се приложи и адаптира за България. Разковничето за решаване на въпроса е всички земеделци в едно населено място да дават една и съща рента, да не се лакомят за още ниви като сами надигат рентата и противоречат на предното. И да няма активно набиране на ниви, което води да повишаване над 60 лева. Този въпрос трябва да се приложи за цялата страна, като се приложат и други принципи централно от Министерство на земеделието и храните, защото безконтролно вдигане на рентата води до фалити, което не е целта. Целта е стабилизиране на фирмите, изплащане на ренти и натрупване на средства във фонд резервен, фонд за закупуване на активи и спонсориране на други дейности. </w:t>
            </w:r>
            <w:r w:rsidRPr="006F374D">
              <w:rPr>
                <w:rFonts w:ascii="Verdana" w:hAnsi="Verdana"/>
                <w:spacing w:val="-4"/>
                <w:sz w:val="20"/>
                <w:szCs w:val="20"/>
              </w:rPr>
              <w:lastRenderedPageBreak/>
              <w:t xml:space="preserve">Освен това всеки договор трябва да съдържа клауза за намаляване на рентата при нисък добив от неблагоприятни климатични условия и форсмажорни обстоятелства. Целта на лимитиране е да се получат резерви за покриване евентуални загуби от текущата година. Начина на контролиране на наема може да е, като се отчитат реалните приходи с фактури и реалните декари </w:t>
            </w:r>
            <w:r w:rsidRPr="006F374D">
              <w:rPr>
                <w:rFonts w:ascii="Verdana" w:hAnsi="Verdana"/>
                <w:spacing w:val="-4"/>
                <w:sz w:val="20"/>
                <w:szCs w:val="20"/>
                <w:lang w:val="en-US"/>
              </w:rPr>
              <w:t>(</w:t>
            </w:r>
            <w:r w:rsidRPr="006F374D">
              <w:rPr>
                <w:rFonts w:ascii="Verdana" w:hAnsi="Verdana"/>
                <w:spacing w:val="-4"/>
                <w:sz w:val="20"/>
                <w:szCs w:val="20"/>
              </w:rPr>
              <w:t xml:space="preserve">собствени и наети) и след отделяне средства за фондовете. В реални условия, за да се стабилизират земеделците и да няма движение на ниви, трябва да няма активно търсене със завишаване на наема и всички </w:t>
            </w:r>
            <w:proofErr w:type="spellStart"/>
            <w:r w:rsidRPr="006F374D">
              <w:rPr>
                <w:rFonts w:ascii="Verdana" w:hAnsi="Verdana"/>
                <w:spacing w:val="-4"/>
                <w:sz w:val="20"/>
                <w:szCs w:val="20"/>
              </w:rPr>
              <w:t>бенифициенти</w:t>
            </w:r>
            <w:proofErr w:type="spellEnd"/>
            <w:r w:rsidRPr="006F374D">
              <w:rPr>
                <w:rFonts w:ascii="Verdana" w:hAnsi="Verdana"/>
                <w:spacing w:val="-4"/>
                <w:sz w:val="20"/>
                <w:szCs w:val="20"/>
              </w:rPr>
              <w:t xml:space="preserve"> да определят еднаква рента. Там където големите фирми са монополисти, те държат ниски наеми и оставащата печалба може да бъде преразпределена в други места.</w:t>
            </w:r>
          </w:p>
        </w:tc>
        <w:tc>
          <w:tcPr>
            <w:tcW w:w="1629" w:type="dxa"/>
            <w:tcBorders>
              <w:top w:val="nil"/>
              <w:left w:val="single" w:sz="18" w:space="0" w:color="2E74B5"/>
              <w:bottom w:val="nil"/>
              <w:right w:val="single" w:sz="18" w:space="0" w:color="2E74B5"/>
            </w:tcBorders>
            <w:shd w:val="clear" w:color="auto" w:fill="auto"/>
          </w:tcPr>
          <w:p w14:paraId="782FDA8A" w14:textId="4BA57475" w:rsidR="008F2D55" w:rsidRPr="0045662D" w:rsidRDefault="008F2D55" w:rsidP="008F2D55">
            <w:pPr>
              <w:spacing w:before="80" w:after="40"/>
              <w:rPr>
                <w:rFonts w:ascii="Verdana" w:hAnsi="Verdana"/>
                <w:color w:val="FF0000"/>
                <w:sz w:val="20"/>
                <w:szCs w:val="20"/>
              </w:rPr>
            </w:pPr>
            <w:r w:rsidRPr="008F2D55">
              <w:rPr>
                <w:rFonts w:ascii="Verdana" w:hAnsi="Verdana"/>
                <w:sz w:val="20"/>
                <w:szCs w:val="20"/>
              </w:rPr>
              <w:lastRenderedPageBreak/>
              <w:t>Не се приема</w:t>
            </w:r>
          </w:p>
        </w:tc>
        <w:tc>
          <w:tcPr>
            <w:tcW w:w="4522" w:type="dxa"/>
            <w:tcBorders>
              <w:top w:val="nil"/>
              <w:left w:val="single" w:sz="18" w:space="0" w:color="2E74B5"/>
              <w:bottom w:val="nil"/>
            </w:tcBorders>
            <w:shd w:val="clear" w:color="auto" w:fill="auto"/>
          </w:tcPr>
          <w:p w14:paraId="5EDFD70B" w14:textId="70D2D621" w:rsidR="008F2D55" w:rsidRPr="004674B8" w:rsidRDefault="008F2D55" w:rsidP="007023DB">
            <w:pPr>
              <w:spacing w:before="80" w:after="40"/>
              <w:jc w:val="both"/>
              <w:rPr>
                <w:rFonts w:ascii="Verdana" w:hAnsi="Verdana"/>
                <w:sz w:val="20"/>
                <w:szCs w:val="20"/>
              </w:rPr>
            </w:pPr>
            <w:r>
              <w:rPr>
                <w:rFonts w:ascii="Verdana" w:hAnsi="Verdana"/>
                <w:sz w:val="20"/>
                <w:szCs w:val="20"/>
              </w:rPr>
              <w:t>Няма отношение към публикувания за обществена консултация проект на нормативен акт.</w:t>
            </w:r>
          </w:p>
        </w:tc>
      </w:tr>
      <w:tr w:rsidR="008F2D55" w:rsidRPr="00F413E2" w14:paraId="6E7925D9" w14:textId="77777777" w:rsidTr="003606C7">
        <w:trPr>
          <w:trHeight w:val="324"/>
          <w:jc w:val="center"/>
        </w:trPr>
        <w:tc>
          <w:tcPr>
            <w:tcW w:w="569" w:type="dxa"/>
            <w:tcBorders>
              <w:top w:val="nil"/>
              <w:bottom w:val="nil"/>
              <w:right w:val="single" w:sz="18" w:space="0" w:color="2E74B5"/>
            </w:tcBorders>
            <w:shd w:val="clear" w:color="auto" w:fill="auto"/>
          </w:tcPr>
          <w:p w14:paraId="2FC46CA4" w14:textId="77777777" w:rsidR="008F2D55" w:rsidRPr="00984A42" w:rsidRDefault="008F2D55" w:rsidP="008F2D55">
            <w:pPr>
              <w:pStyle w:val="ListParagraph"/>
              <w:tabs>
                <w:tab w:val="left" w:pos="192"/>
              </w:tabs>
              <w:spacing w:before="80" w:after="40"/>
              <w:ind w:left="414"/>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1D88A479"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1E1A8815" w14:textId="12425890"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Раздел Г включва два въпроса:</w:t>
            </w:r>
          </w:p>
        </w:tc>
        <w:tc>
          <w:tcPr>
            <w:tcW w:w="1629" w:type="dxa"/>
            <w:tcBorders>
              <w:top w:val="nil"/>
              <w:left w:val="single" w:sz="18" w:space="0" w:color="2E74B5"/>
              <w:bottom w:val="nil"/>
              <w:right w:val="single" w:sz="18" w:space="0" w:color="2E74B5"/>
            </w:tcBorders>
            <w:shd w:val="clear" w:color="auto" w:fill="auto"/>
          </w:tcPr>
          <w:p w14:paraId="7AE34419" w14:textId="278DA1EA" w:rsidR="008F2D55" w:rsidRPr="0045662D" w:rsidRDefault="008F2D55" w:rsidP="008F2D55">
            <w:pPr>
              <w:spacing w:before="80" w:after="40"/>
              <w:jc w:val="both"/>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7BB8754E" w14:textId="77777777" w:rsidR="008F2D55" w:rsidRPr="004674B8" w:rsidRDefault="008F2D55" w:rsidP="008F2D55">
            <w:pPr>
              <w:spacing w:before="80" w:after="40"/>
              <w:rPr>
                <w:rFonts w:ascii="Verdana" w:hAnsi="Verdana"/>
                <w:sz w:val="20"/>
                <w:szCs w:val="20"/>
              </w:rPr>
            </w:pPr>
          </w:p>
        </w:tc>
      </w:tr>
      <w:tr w:rsidR="008F2D55" w:rsidRPr="00F413E2" w14:paraId="39BE8C7E" w14:textId="77777777" w:rsidTr="003606C7">
        <w:trPr>
          <w:trHeight w:val="579"/>
          <w:jc w:val="center"/>
        </w:trPr>
        <w:tc>
          <w:tcPr>
            <w:tcW w:w="569" w:type="dxa"/>
            <w:tcBorders>
              <w:top w:val="nil"/>
              <w:bottom w:val="nil"/>
              <w:right w:val="single" w:sz="18" w:space="0" w:color="2E74B5"/>
            </w:tcBorders>
            <w:shd w:val="clear" w:color="auto" w:fill="auto"/>
          </w:tcPr>
          <w:p w14:paraId="6183643C" w14:textId="77777777" w:rsidR="008F2D55" w:rsidRPr="00984A42" w:rsidRDefault="008F2D55" w:rsidP="008F2D55">
            <w:pPr>
              <w:pStyle w:val="ListParagraph"/>
              <w:tabs>
                <w:tab w:val="left" w:pos="192"/>
              </w:tabs>
              <w:spacing w:before="80" w:after="40"/>
              <w:ind w:left="414"/>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08A936F4"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5EADEA5B" w14:textId="32311AD2"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1 .Ще има ли Украинска помощ през 2025 г.?</w:t>
            </w:r>
          </w:p>
        </w:tc>
        <w:tc>
          <w:tcPr>
            <w:tcW w:w="1629" w:type="dxa"/>
            <w:tcBorders>
              <w:top w:val="nil"/>
              <w:left w:val="single" w:sz="18" w:space="0" w:color="2E74B5"/>
              <w:bottom w:val="nil"/>
              <w:right w:val="single" w:sz="18" w:space="0" w:color="2E74B5"/>
            </w:tcBorders>
            <w:shd w:val="clear" w:color="auto" w:fill="auto"/>
          </w:tcPr>
          <w:p w14:paraId="51049C58" w14:textId="236302D4" w:rsidR="008F2D55" w:rsidRPr="0045662D" w:rsidRDefault="008F2D55" w:rsidP="008F2D55">
            <w:pPr>
              <w:spacing w:before="80" w:after="40"/>
              <w:rPr>
                <w:rFonts w:ascii="Verdana" w:hAnsi="Verdana"/>
                <w:color w:val="FF0000"/>
                <w:sz w:val="20"/>
                <w:szCs w:val="20"/>
              </w:rPr>
            </w:pPr>
            <w:r w:rsidRPr="008F2D55">
              <w:rPr>
                <w:rFonts w:ascii="Verdana" w:hAnsi="Verdana"/>
                <w:sz w:val="20"/>
                <w:szCs w:val="20"/>
              </w:rPr>
              <w:t>Не се приема</w:t>
            </w:r>
          </w:p>
        </w:tc>
        <w:tc>
          <w:tcPr>
            <w:tcW w:w="4522" w:type="dxa"/>
            <w:tcBorders>
              <w:top w:val="nil"/>
              <w:left w:val="single" w:sz="18" w:space="0" w:color="2E74B5"/>
              <w:bottom w:val="nil"/>
            </w:tcBorders>
            <w:shd w:val="clear" w:color="auto" w:fill="auto"/>
          </w:tcPr>
          <w:p w14:paraId="38EEBC67" w14:textId="5BCC469B" w:rsidR="008F2D55" w:rsidRPr="004674B8" w:rsidRDefault="008F2D55" w:rsidP="007023DB">
            <w:pPr>
              <w:spacing w:before="80" w:after="40"/>
              <w:jc w:val="both"/>
              <w:rPr>
                <w:rFonts w:ascii="Verdana" w:hAnsi="Verdana"/>
                <w:sz w:val="20"/>
                <w:szCs w:val="20"/>
              </w:rPr>
            </w:pPr>
            <w:r>
              <w:rPr>
                <w:rFonts w:ascii="Verdana" w:hAnsi="Verdana"/>
                <w:sz w:val="20"/>
                <w:szCs w:val="20"/>
              </w:rPr>
              <w:t>Няма отношение към публикувания за обществена консултация проект на нормативен акт.</w:t>
            </w:r>
          </w:p>
        </w:tc>
      </w:tr>
      <w:tr w:rsidR="008F2D55" w:rsidRPr="00F413E2" w14:paraId="0024FF22" w14:textId="77777777" w:rsidTr="003606C7">
        <w:trPr>
          <w:trHeight w:val="594"/>
          <w:jc w:val="center"/>
        </w:trPr>
        <w:tc>
          <w:tcPr>
            <w:tcW w:w="569" w:type="dxa"/>
            <w:tcBorders>
              <w:top w:val="nil"/>
              <w:bottom w:val="single" w:sz="18" w:space="0" w:color="2E74B5"/>
              <w:right w:val="single" w:sz="18" w:space="0" w:color="2E74B5"/>
            </w:tcBorders>
            <w:shd w:val="clear" w:color="auto" w:fill="auto"/>
          </w:tcPr>
          <w:p w14:paraId="26D71983" w14:textId="77777777" w:rsidR="008F2D55" w:rsidRPr="00984A42" w:rsidRDefault="008F2D55" w:rsidP="008F2D55">
            <w:pPr>
              <w:pStyle w:val="ListParagraph"/>
              <w:tabs>
                <w:tab w:val="left" w:pos="192"/>
              </w:tabs>
              <w:spacing w:before="80" w:after="40"/>
              <w:ind w:left="414"/>
              <w:rPr>
                <w:rFonts w:ascii="Verdana" w:hAnsi="Verdana"/>
                <w:b/>
                <w:sz w:val="20"/>
                <w:szCs w:val="20"/>
              </w:rPr>
            </w:pPr>
          </w:p>
        </w:tc>
        <w:tc>
          <w:tcPr>
            <w:tcW w:w="2662" w:type="dxa"/>
            <w:tcBorders>
              <w:top w:val="nil"/>
              <w:left w:val="single" w:sz="18" w:space="0" w:color="2E74B5"/>
              <w:bottom w:val="single" w:sz="18" w:space="0" w:color="2E74B5"/>
              <w:right w:val="single" w:sz="18" w:space="0" w:color="2E74B5"/>
            </w:tcBorders>
            <w:shd w:val="clear" w:color="auto" w:fill="auto"/>
          </w:tcPr>
          <w:p w14:paraId="24FA7455"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single" w:sz="18" w:space="0" w:color="2E74B5"/>
              <w:right w:val="single" w:sz="18" w:space="0" w:color="2E74B5"/>
            </w:tcBorders>
            <w:shd w:val="clear" w:color="auto" w:fill="auto"/>
          </w:tcPr>
          <w:p w14:paraId="374DAE21" w14:textId="66791D64"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2. При среща на земеделци с представители на МЗХ през 2024 г. беше казано, че ще се изравняват постепенно субсидиите в България спрямо тези в ЕС, като се вдигат с 10% на година до пълно изравняване. Ще се случи ли това?</w:t>
            </w:r>
          </w:p>
        </w:tc>
        <w:tc>
          <w:tcPr>
            <w:tcW w:w="1629" w:type="dxa"/>
            <w:tcBorders>
              <w:top w:val="nil"/>
              <w:left w:val="single" w:sz="18" w:space="0" w:color="2E74B5"/>
              <w:bottom w:val="single" w:sz="18" w:space="0" w:color="2E74B5"/>
              <w:right w:val="single" w:sz="18" w:space="0" w:color="2E74B5"/>
            </w:tcBorders>
            <w:shd w:val="clear" w:color="auto" w:fill="auto"/>
          </w:tcPr>
          <w:p w14:paraId="3A1E0C3E" w14:textId="0ADB2D07" w:rsidR="008F2D55" w:rsidRPr="004674B8" w:rsidRDefault="008F2D55" w:rsidP="008F2D55">
            <w:pPr>
              <w:spacing w:before="80" w:after="40"/>
              <w:rPr>
                <w:rFonts w:ascii="Verdana" w:hAnsi="Verdana"/>
                <w:sz w:val="20"/>
                <w:szCs w:val="20"/>
              </w:rPr>
            </w:pPr>
            <w:r w:rsidRPr="008F2D55">
              <w:rPr>
                <w:rFonts w:ascii="Verdana" w:hAnsi="Verdana"/>
                <w:sz w:val="20"/>
                <w:szCs w:val="20"/>
              </w:rPr>
              <w:t>Не се приема</w:t>
            </w:r>
          </w:p>
        </w:tc>
        <w:tc>
          <w:tcPr>
            <w:tcW w:w="4522" w:type="dxa"/>
            <w:tcBorders>
              <w:top w:val="nil"/>
              <w:left w:val="single" w:sz="18" w:space="0" w:color="2E74B5"/>
              <w:bottom w:val="single" w:sz="18" w:space="0" w:color="2E74B5"/>
            </w:tcBorders>
            <w:shd w:val="clear" w:color="auto" w:fill="auto"/>
          </w:tcPr>
          <w:p w14:paraId="2DC881B6" w14:textId="163CEF0D" w:rsidR="008F2D55" w:rsidRPr="004674B8" w:rsidRDefault="008F2D55" w:rsidP="007023DB">
            <w:pPr>
              <w:spacing w:before="80" w:after="40"/>
              <w:jc w:val="both"/>
              <w:rPr>
                <w:rFonts w:ascii="Verdana" w:hAnsi="Verdana"/>
                <w:sz w:val="20"/>
                <w:szCs w:val="20"/>
              </w:rPr>
            </w:pPr>
            <w:r>
              <w:rPr>
                <w:rFonts w:ascii="Verdana" w:hAnsi="Verdana"/>
                <w:sz w:val="20"/>
                <w:szCs w:val="20"/>
              </w:rPr>
              <w:t>Няма отношение към публикувания за обществена консултация проект на нормативен акт.</w:t>
            </w:r>
          </w:p>
        </w:tc>
      </w:tr>
      <w:tr w:rsidR="008F2D55" w:rsidRPr="00F413E2" w14:paraId="67C44F79" w14:textId="77777777" w:rsidTr="003606C7">
        <w:trPr>
          <w:trHeight w:val="594"/>
          <w:jc w:val="center"/>
        </w:trPr>
        <w:tc>
          <w:tcPr>
            <w:tcW w:w="569" w:type="dxa"/>
            <w:tcBorders>
              <w:top w:val="single" w:sz="18" w:space="0" w:color="2E74B5"/>
              <w:bottom w:val="nil"/>
              <w:right w:val="single" w:sz="18" w:space="0" w:color="2E74B5"/>
            </w:tcBorders>
            <w:shd w:val="clear" w:color="auto" w:fill="auto"/>
          </w:tcPr>
          <w:p w14:paraId="3EA823AC" w14:textId="0AB20A76" w:rsidR="008F2D55" w:rsidRPr="00984A42" w:rsidRDefault="008F2D55" w:rsidP="008F2D55">
            <w:pPr>
              <w:pStyle w:val="ListParagraph"/>
              <w:numPr>
                <w:ilvl w:val="0"/>
                <w:numId w:val="34"/>
              </w:numPr>
              <w:tabs>
                <w:tab w:val="left" w:pos="192"/>
              </w:tabs>
              <w:spacing w:before="80" w:after="40"/>
              <w:rPr>
                <w:rFonts w:ascii="Verdana" w:hAnsi="Verdana"/>
                <w:b/>
                <w:sz w:val="20"/>
                <w:szCs w:val="20"/>
              </w:rPr>
            </w:pPr>
          </w:p>
        </w:tc>
        <w:tc>
          <w:tcPr>
            <w:tcW w:w="2662" w:type="dxa"/>
            <w:tcBorders>
              <w:top w:val="single" w:sz="18" w:space="0" w:color="2E74B5"/>
              <w:left w:val="single" w:sz="18" w:space="0" w:color="2E74B5"/>
              <w:bottom w:val="nil"/>
              <w:right w:val="single" w:sz="18" w:space="0" w:color="2E74B5"/>
            </w:tcBorders>
            <w:shd w:val="clear" w:color="auto" w:fill="auto"/>
          </w:tcPr>
          <w:p w14:paraId="24989EB1" w14:textId="25CA75BD" w:rsidR="008F2D55" w:rsidRPr="00F206BD" w:rsidRDefault="008F2D55" w:rsidP="008F2D55">
            <w:pPr>
              <w:spacing w:before="80" w:after="40"/>
              <w:rPr>
                <w:rFonts w:ascii="Verdana" w:hAnsi="Verdana"/>
                <w:spacing w:val="-2"/>
                <w:sz w:val="20"/>
                <w:szCs w:val="20"/>
              </w:rPr>
            </w:pPr>
            <w:r w:rsidRPr="00F206BD">
              <w:rPr>
                <w:rFonts w:ascii="Verdana" w:hAnsi="Verdana"/>
                <w:spacing w:val="-2"/>
                <w:sz w:val="20"/>
                <w:szCs w:val="20"/>
              </w:rPr>
              <w:t xml:space="preserve">Държавен </w:t>
            </w:r>
            <w:r>
              <w:rPr>
                <w:rFonts w:ascii="Verdana" w:hAnsi="Verdana"/>
                <w:spacing w:val="-2"/>
                <w:sz w:val="20"/>
                <w:szCs w:val="20"/>
              </w:rPr>
              <w:t>фонд „Земеделие“</w:t>
            </w:r>
          </w:p>
          <w:p w14:paraId="536D5274" w14:textId="09E3AA65" w:rsidR="008F2D55" w:rsidRDefault="008F2D55" w:rsidP="008F2D55">
            <w:pPr>
              <w:spacing w:before="40" w:after="40"/>
              <w:rPr>
                <w:rFonts w:ascii="Verdana" w:hAnsi="Verdana"/>
                <w:spacing w:val="-2"/>
                <w:sz w:val="20"/>
                <w:szCs w:val="20"/>
              </w:rPr>
            </w:pPr>
            <w:r w:rsidRPr="00F206BD">
              <w:rPr>
                <w:rFonts w:ascii="Verdana" w:hAnsi="Verdana"/>
                <w:spacing w:val="-2"/>
                <w:sz w:val="20"/>
                <w:szCs w:val="20"/>
              </w:rPr>
              <w:t>(становище №</w:t>
            </w:r>
            <w:r>
              <w:rPr>
                <w:rFonts w:ascii="Verdana" w:hAnsi="Verdana"/>
                <w:spacing w:val="-2"/>
                <w:sz w:val="20"/>
                <w:szCs w:val="20"/>
              </w:rPr>
              <w:t xml:space="preserve"> 91</w:t>
            </w:r>
            <w:r w:rsidRPr="00F206BD">
              <w:rPr>
                <w:rFonts w:ascii="Verdana" w:hAnsi="Verdana"/>
                <w:spacing w:val="-2"/>
                <w:sz w:val="20"/>
                <w:szCs w:val="20"/>
              </w:rPr>
              <w:t>-</w:t>
            </w:r>
            <w:r>
              <w:rPr>
                <w:rFonts w:ascii="Verdana" w:hAnsi="Verdana"/>
                <w:spacing w:val="-2"/>
                <w:sz w:val="20"/>
                <w:szCs w:val="20"/>
              </w:rPr>
              <w:t>12</w:t>
            </w:r>
            <w:r w:rsidRPr="00F206BD">
              <w:rPr>
                <w:rFonts w:ascii="Verdana" w:hAnsi="Verdana"/>
                <w:spacing w:val="-2"/>
                <w:sz w:val="20"/>
                <w:szCs w:val="20"/>
              </w:rPr>
              <w:t xml:space="preserve"> от</w:t>
            </w:r>
            <w:r>
              <w:rPr>
                <w:rFonts w:ascii="Verdana" w:hAnsi="Verdana"/>
                <w:spacing w:val="-2"/>
                <w:sz w:val="20"/>
                <w:szCs w:val="20"/>
              </w:rPr>
              <w:t xml:space="preserve"> 12</w:t>
            </w:r>
            <w:r w:rsidRPr="00F206BD">
              <w:rPr>
                <w:rFonts w:ascii="Verdana" w:hAnsi="Verdana"/>
                <w:spacing w:val="-2"/>
                <w:sz w:val="20"/>
                <w:szCs w:val="20"/>
              </w:rPr>
              <w:t xml:space="preserve"> февруари 2025 г.)</w:t>
            </w:r>
          </w:p>
        </w:tc>
        <w:tc>
          <w:tcPr>
            <w:tcW w:w="6268" w:type="dxa"/>
            <w:tcBorders>
              <w:top w:val="single" w:sz="18" w:space="0" w:color="2E74B5"/>
              <w:left w:val="single" w:sz="18" w:space="0" w:color="2E74B5"/>
              <w:bottom w:val="nil"/>
              <w:right w:val="single" w:sz="18" w:space="0" w:color="2E74B5"/>
            </w:tcBorders>
            <w:shd w:val="clear" w:color="auto" w:fill="auto"/>
          </w:tcPr>
          <w:p w14:paraId="2401053B" w14:textId="3E1E7E3B"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Във връзка с обявен за обществено обсъждане проект на Наредба за условията и реда за предоставяне на спешна финансова помощ на земеделски стопани, отглеждащи царевица за зърно, Ви информираме следното:</w:t>
            </w:r>
          </w:p>
        </w:tc>
        <w:tc>
          <w:tcPr>
            <w:tcW w:w="1629" w:type="dxa"/>
            <w:tcBorders>
              <w:top w:val="single" w:sz="18" w:space="0" w:color="2E74B5"/>
              <w:left w:val="single" w:sz="18" w:space="0" w:color="2E74B5"/>
              <w:bottom w:val="nil"/>
              <w:right w:val="single" w:sz="18" w:space="0" w:color="2E74B5"/>
            </w:tcBorders>
            <w:shd w:val="clear" w:color="auto" w:fill="auto"/>
          </w:tcPr>
          <w:p w14:paraId="56328126" w14:textId="77777777" w:rsidR="008F2D55" w:rsidRPr="0050720B" w:rsidRDefault="008F2D55" w:rsidP="008F2D55">
            <w:pPr>
              <w:spacing w:before="80" w:after="40"/>
              <w:rPr>
                <w:rFonts w:ascii="Verdana" w:hAnsi="Verdana"/>
                <w:color w:val="FF0000"/>
                <w:sz w:val="20"/>
                <w:szCs w:val="20"/>
              </w:rPr>
            </w:pPr>
          </w:p>
        </w:tc>
        <w:tc>
          <w:tcPr>
            <w:tcW w:w="4522" w:type="dxa"/>
            <w:tcBorders>
              <w:top w:val="single" w:sz="18" w:space="0" w:color="2E74B5"/>
              <w:left w:val="single" w:sz="18" w:space="0" w:color="2E74B5"/>
              <w:bottom w:val="nil"/>
            </w:tcBorders>
            <w:shd w:val="clear" w:color="auto" w:fill="auto"/>
          </w:tcPr>
          <w:p w14:paraId="6A916B0A" w14:textId="77777777" w:rsidR="008F2D55" w:rsidRPr="004674B8" w:rsidRDefault="008F2D55" w:rsidP="008F2D55">
            <w:pPr>
              <w:spacing w:before="80" w:after="40"/>
              <w:rPr>
                <w:rFonts w:ascii="Verdana" w:hAnsi="Verdana"/>
                <w:sz w:val="20"/>
                <w:szCs w:val="20"/>
              </w:rPr>
            </w:pPr>
          </w:p>
        </w:tc>
      </w:tr>
      <w:tr w:rsidR="008F2D55" w:rsidRPr="00F413E2" w14:paraId="16BD8D5F" w14:textId="77777777" w:rsidTr="003606C7">
        <w:trPr>
          <w:trHeight w:val="594"/>
          <w:jc w:val="center"/>
        </w:trPr>
        <w:tc>
          <w:tcPr>
            <w:tcW w:w="569" w:type="dxa"/>
            <w:tcBorders>
              <w:top w:val="nil"/>
              <w:bottom w:val="nil"/>
              <w:right w:val="single" w:sz="18" w:space="0" w:color="2E74B5"/>
            </w:tcBorders>
            <w:shd w:val="clear" w:color="auto" w:fill="auto"/>
          </w:tcPr>
          <w:p w14:paraId="0CD80B68" w14:textId="77777777" w:rsidR="008F2D55" w:rsidRPr="00F206BD" w:rsidRDefault="008F2D55" w:rsidP="008F2D55">
            <w:pPr>
              <w:tabs>
                <w:tab w:val="left" w:pos="192"/>
              </w:tabs>
              <w:spacing w:before="80" w:after="40"/>
              <w:ind w:left="360"/>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573A39A5"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6FC256DD" w14:textId="6E1B9AB2"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 xml:space="preserve">Съгласно чл. 6, ал. 1, т. 6 от проекта на горецитираната </w:t>
            </w:r>
            <w:r w:rsidRPr="006F374D">
              <w:rPr>
                <w:rFonts w:ascii="Verdana" w:hAnsi="Verdana"/>
                <w:spacing w:val="-2"/>
                <w:sz w:val="20"/>
                <w:szCs w:val="20"/>
              </w:rPr>
              <w:t xml:space="preserve">наредба, недопустими за подпомагане са кандидати, които са получили подпомагане за площи с царевица за зърно за неблагоприятни климатични събития, настъпили през 2024 г. </w:t>
            </w:r>
            <w:r w:rsidRPr="006F374D">
              <w:rPr>
                <w:rFonts w:ascii="Verdana" w:hAnsi="Verdana"/>
                <w:spacing w:val="-4"/>
                <w:sz w:val="20"/>
                <w:szCs w:val="20"/>
              </w:rPr>
              <w:t xml:space="preserve">по „Държавна помощ за компенсиране на щетите по земеделските култури, причинени от неблагоприятни климатични събития, които могат да бъдат приравнени на </w:t>
            </w:r>
            <w:r w:rsidRPr="006F374D">
              <w:rPr>
                <w:rFonts w:ascii="Verdana" w:hAnsi="Verdana"/>
                <w:spacing w:val="-4"/>
                <w:sz w:val="20"/>
                <w:szCs w:val="20"/>
              </w:rPr>
              <w:lastRenderedPageBreak/>
              <w:t>природно бедствие“ с номер SA.104672 (2022/N) – за размера на съответните площи.</w:t>
            </w:r>
          </w:p>
        </w:tc>
        <w:tc>
          <w:tcPr>
            <w:tcW w:w="1629" w:type="dxa"/>
            <w:tcBorders>
              <w:top w:val="nil"/>
              <w:left w:val="single" w:sz="18" w:space="0" w:color="2E74B5"/>
              <w:bottom w:val="nil"/>
              <w:right w:val="single" w:sz="18" w:space="0" w:color="2E74B5"/>
            </w:tcBorders>
            <w:shd w:val="clear" w:color="auto" w:fill="auto"/>
          </w:tcPr>
          <w:p w14:paraId="0D8B5A05" w14:textId="66B8869C" w:rsidR="008F2D55" w:rsidRPr="0050720B" w:rsidRDefault="008F2D55" w:rsidP="008F2D55">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36091D80" w14:textId="77777777" w:rsidR="008F2D55" w:rsidRPr="004674B8" w:rsidRDefault="008F2D55" w:rsidP="008F2D55">
            <w:pPr>
              <w:spacing w:before="80" w:after="40"/>
              <w:rPr>
                <w:rFonts w:ascii="Verdana" w:hAnsi="Verdana"/>
                <w:sz w:val="20"/>
                <w:szCs w:val="20"/>
              </w:rPr>
            </w:pPr>
          </w:p>
        </w:tc>
      </w:tr>
      <w:tr w:rsidR="008F2D55" w:rsidRPr="00F413E2" w14:paraId="0FBB93A9" w14:textId="77777777" w:rsidTr="003606C7">
        <w:trPr>
          <w:trHeight w:val="594"/>
          <w:jc w:val="center"/>
        </w:trPr>
        <w:tc>
          <w:tcPr>
            <w:tcW w:w="569" w:type="dxa"/>
            <w:tcBorders>
              <w:top w:val="nil"/>
              <w:bottom w:val="nil"/>
              <w:right w:val="single" w:sz="18" w:space="0" w:color="2E74B5"/>
            </w:tcBorders>
            <w:shd w:val="clear" w:color="auto" w:fill="auto"/>
          </w:tcPr>
          <w:p w14:paraId="1C70D5AB" w14:textId="77777777" w:rsidR="008F2D55" w:rsidRPr="00F206BD" w:rsidRDefault="008F2D55" w:rsidP="008F2D55">
            <w:pPr>
              <w:tabs>
                <w:tab w:val="left" w:pos="192"/>
              </w:tabs>
              <w:spacing w:before="80" w:after="40"/>
              <w:ind w:left="360"/>
              <w:rPr>
                <w:rFonts w:ascii="Verdana" w:hAnsi="Verdana"/>
                <w:b/>
                <w:sz w:val="20"/>
                <w:szCs w:val="20"/>
              </w:rPr>
            </w:pPr>
          </w:p>
        </w:tc>
        <w:tc>
          <w:tcPr>
            <w:tcW w:w="2662" w:type="dxa"/>
            <w:tcBorders>
              <w:top w:val="nil"/>
              <w:left w:val="single" w:sz="18" w:space="0" w:color="2E74B5"/>
              <w:bottom w:val="nil"/>
              <w:right w:val="single" w:sz="18" w:space="0" w:color="2E74B5"/>
            </w:tcBorders>
            <w:shd w:val="clear" w:color="auto" w:fill="auto"/>
          </w:tcPr>
          <w:p w14:paraId="2FC1B400"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nil"/>
              <w:right w:val="single" w:sz="18" w:space="0" w:color="2E74B5"/>
            </w:tcBorders>
            <w:shd w:val="clear" w:color="auto" w:fill="auto"/>
          </w:tcPr>
          <w:p w14:paraId="3523244A" w14:textId="3236F23F"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След направени справки в регистрите на ДФЗ и МЗХ, поддържани по отношение прилагането на държавната помощ, се установи, че е невъзможно еднозначно да се определи вида на царевицата – за зърно или силажна, съгласно съставените протоколи за констатиране на щетите по земеделските култури, причинени от неблагоприятни климатични събития, които могат да бъдат приравнени на природно бедствие.</w:t>
            </w:r>
          </w:p>
        </w:tc>
        <w:tc>
          <w:tcPr>
            <w:tcW w:w="1629" w:type="dxa"/>
            <w:tcBorders>
              <w:top w:val="nil"/>
              <w:left w:val="single" w:sz="18" w:space="0" w:color="2E74B5"/>
              <w:bottom w:val="nil"/>
              <w:right w:val="single" w:sz="18" w:space="0" w:color="2E74B5"/>
            </w:tcBorders>
            <w:shd w:val="clear" w:color="auto" w:fill="auto"/>
          </w:tcPr>
          <w:p w14:paraId="2033FEE1" w14:textId="1D8036E0" w:rsidR="008F2D55" w:rsidRPr="00F206BD" w:rsidRDefault="008F2D55" w:rsidP="008F2D55">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05C5C8F8" w14:textId="77777777" w:rsidR="008F2D55" w:rsidRPr="004674B8" w:rsidRDefault="008F2D55" w:rsidP="008F2D55">
            <w:pPr>
              <w:spacing w:before="80" w:after="40"/>
              <w:rPr>
                <w:rFonts w:ascii="Verdana" w:hAnsi="Verdana"/>
                <w:sz w:val="20"/>
                <w:szCs w:val="20"/>
              </w:rPr>
            </w:pPr>
          </w:p>
        </w:tc>
      </w:tr>
      <w:tr w:rsidR="008F2D55" w:rsidRPr="00F413E2" w14:paraId="200D5DD6" w14:textId="77777777" w:rsidTr="003606C7">
        <w:trPr>
          <w:trHeight w:val="594"/>
          <w:jc w:val="center"/>
        </w:trPr>
        <w:tc>
          <w:tcPr>
            <w:tcW w:w="569" w:type="dxa"/>
            <w:tcBorders>
              <w:top w:val="nil"/>
              <w:bottom w:val="single" w:sz="18" w:space="0" w:color="2E74B5"/>
              <w:right w:val="single" w:sz="18" w:space="0" w:color="2E74B5"/>
            </w:tcBorders>
            <w:shd w:val="clear" w:color="auto" w:fill="auto"/>
          </w:tcPr>
          <w:p w14:paraId="69A08E37" w14:textId="77777777" w:rsidR="008F2D55" w:rsidRPr="00F206BD" w:rsidRDefault="008F2D55" w:rsidP="008F2D55">
            <w:pPr>
              <w:tabs>
                <w:tab w:val="left" w:pos="192"/>
              </w:tabs>
              <w:spacing w:before="80" w:after="40"/>
              <w:ind w:left="360"/>
              <w:rPr>
                <w:rFonts w:ascii="Verdana" w:hAnsi="Verdana"/>
                <w:b/>
                <w:sz w:val="20"/>
                <w:szCs w:val="20"/>
              </w:rPr>
            </w:pPr>
          </w:p>
        </w:tc>
        <w:tc>
          <w:tcPr>
            <w:tcW w:w="2662" w:type="dxa"/>
            <w:tcBorders>
              <w:top w:val="nil"/>
              <w:left w:val="single" w:sz="18" w:space="0" w:color="2E74B5"/>
              <w:bottom w:val="single" w:sz="18" w:space="0" w:color="2E74B5"/>
              <w:right w:val="single" w:sz="18" w:space="0" w:color="2E74B5"/>
            </w:tcBorders>
            <w:shd w:val="clear" w:color="auto" w:fill="auto"/>
          </w:tcPr>
          <w:p w14:paraId="4F7CD276" w14:textId="77777777" w:rsidR="008F2D55" w:rsidRDefault="008F2D55" w:rsidP="008F2D55">
            <w:pPr>
              <w:spacing w:before="80" w:after="40"/>
              <w:rPr>
                <w:rFonts w:ascii="Verdana" w:hAnsi="Verdana"/>
                <w:spacing w:val="-2"/>
                <w:sz w:val="20"/>
                <w:szCs w:val="20"/>
              </w:rPr>
            </w:pPr>
          </w:p>
        </w:tc>
        <w:tc>
          <w:tcPr>
            <w:tcW w:w="6268" w:type="dxa"/>
            <w:tcBorders>
              <w:top w:val="nil"/>
              <w:left w:val="single" w:sz="18" w:space="0" w:color="2E74B5"/>
              <w:bottom w:val="single" w:sz="18" w:space="0" w:color="2E74B5"/>
              <w:right w:val="single" w:sz="18" w:space="0" w:color="2E74B5"/>
            </w:tcBorders>
            <w:shd w:val="clear" w:color="auto" w:fill="auto"/>
          </w:tcPr>
          <w:p w14:paraId="02A2DABA" w14:textId="601D1214"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Предвид гореизложеното и с цел коректното определяне допустимостта на кандидатите, предлагаме конкретизирането на обхвата на помощта царевица „за зърно“ да отпадне.</w:t>
            </w:r>
          </w:p>
        </w:tc>
        <w:tc>
          <w:tcPr>
            <w:tcW w:w="1629" w:type="dxa"/>
            <w:tcBorders>
              <w:top w:val="nil"/>
              <w:left w:val="single" w:sz="18" w:space="0" w:color="2E74B5"/>
              <w:bottom w:val="single" w:sz="18" w:space="0" w:color="2E74B5"/>
              <w:right w:val="single" w:sz="18" w:space="0" w:color="2E74B5"/>
            </w:tcBorders>
            <w:shd w:val="clear" w:color="auto" w:fill="auto"/>
          </w:tcPr>
          <w:p w14:paraId="3CADCD97" w14:textId="7883B22D" w:rsidR="008F2D55" w:rsidRPr="0050720B" w:rsidRDefault="008F2D55" w:rsidP="008F2D55">
            <w:pPr>
              <w:spacing w:before="80" w:after="40"/>
              <w:rPr>
                <w:rFonts w:ascii="Verdana" w:hAnsi="Verdana"/>
                <w:color w:val="FF0000"/>
                <w:sz w:val="20"/>
                <w:szCs w:val="20"/>
              </w:rPr>
            </w:pPr>
            <w:r w:rsidRPr="008F2D55">
              <w:rPr>
                <w:rFonts w:ascii="Verdana" w:hAnsi="Verdana"/>
                <w:sz w:val="20"/>
                <w:szCs w:val="20"/>
              </w:rPr>
              <w:t>Приема се</w:t>
            </w:r>
          </w:p>
        </w:tc>
        <w:tc>
          <w:tcPr>
            <w:tcW w:w="4522" w:type="dxa"/>
            <w:tcBorders>
              <w:top w:val="nil"/>
              <w:left w:val="single" w:sz="18" w:space="0" w:color="2E74B5"/>
              <w:bottom w:val="single" w:sz="18" w:space="0" w:color="2E74B5"/>
            </w:tcBorders>
            <w:shd w:val="clear" w:color="auto" w:fill="auto"/>
          </w:tcPr>
          <w:p w14:paraId="72B4E04A" w14:textId="77777777" w:rsidR="008F2D55" w:rsidRPr="008F2D55" w:rsidRDefault="008F2D55" w:rsidP="008F2D55">
            <w:pPr>
              <w:spacing w:before="80" w:after="40"/>
              <w:rPr>
                <w:rFonts w:ascii="Verdana" w:hAnsi="Verdana"/>
                <w:sz w:val="20"/>
                <w:szCs w:val="20"/>
                <w:lang w:val="en-US"/>
              </w:rPr>
            </w:pPr>
          </w:p>
        </w:tc>
      </w:tr>
      <w:tr w:rsidR="008F2D55" w:rsidRPr="00F413E2" w14:paraId="04F3442C" w14:textId="77777777" w:rsidTr="003606C7">
        <w:trPr>
          <w:trHeight w:val="725"/>
          <w:jc w:val="center"/>
        </w:trPr>
        <w:tc>
          <w:tcPr>
            <w:tcW w:w="569" w:type="dxa"/>
            <w:tcBorders>
              <w:top w:val="single" w:sz="18" w:space="0" w:color="2E74B5"/>
              <w:bottom w:val="nil"/>
              <w:right w:val="single" w:sz="18" w:space="0" w:color="2E74B5"/>
            </w:tcBorders>
            <w:shd w:val="clear" w:color="auto" w:fill="auto"/>
          </w:tcPr>
          <w:p w14:paraId="2C361ABD" w14:textId="77777777" w:rsidR="008F2D55" w:rsidRPr="00984A42" w:rsidRDefault="008F2D55" w:rsidP="008F2D55">
            <w:pPr>
              <w:pStyle w:val="ListParagraph"/>
              <w:numPr>
                <w:ilvl w:val="0"/>
                <w:numId w:val="34"/>
              </w:numPr>
              <w:tabs>
                <w:tab w:val="left" w:pos="192"/>
              </w:tabs>
              <w:spacing w:before="80" w:after="40"/>
              <w:rPr>
                <w:rFonts w:ascii="Verdana" w:hAnsi="Verdana"/>
                <w:b/>
                <w:sz w:val="20"/>
                <w:szCs w:val="20"/>
              </w:rPr>
            </w:pPr>
          </w:p>
        </w:tc>
        <w:tc>
          <w:tcPr>
            <w:tcW w:w="2662" w:type="dxa"/>
            <w:tcBorders>
              <w:top w:val="single" w:sz="18" w:space="0" w:color="2E74B5"/>
              <w:left w:val="single" w:sz="18" w:space="0" w:color="2E74B5"/>
              <w:bottom w:val="nil"/>
              <w:right w:val="single" w:sz="18" w:space="0" w:color="2E74B5"/>
            </w:tcBorders>
            <w:shd w:val="clear" w:color="auto" w:fill="auto"/>
          </w:tcPr>
          <w:p w14:paraId="32AC85ED" w14:textId="53FE2A4B" w:rsidR="008F2D55" w:rsidRPr="00642C99" w:rsidRDefault="008F2D55" w:rsidP="008F2D55">
            <w:pPr>
              <w:spacing w:before="80" w:after="40"/>
              <w:rPr>
                <w:rFonts w:ascii="Verdana" w:hAnsi="Verdana"/>
                <w:sz w:val="20"/>
                <w:szCs w:val="20"/>
              </w:rPr>
            </w:pPr>
            <w:r>
              <w:rPr>
                <w:rFonts w:ascii="Verdana" w:hAnsi="Verdana"/>
                <w:sz w:val="20"/>
                <w:szCs w:val="20"/>
              </w:rPr>
              <w:t>Национален Съюз на Говедовъдите в Б</w:t>
            </w:r>
            <w:r w:rsidRPr="00D660EE">
              <w:rPr>
                <w:rFonts w:ascii="Verdana" w:hAnsi="Verdana"/>
                <w:sz w:val="20"/>
                <w:szCs w:val="20"/>
              </w:rPr>
              <w:t>ългария</w:t>
            </w:r>
            <w:r>
              <w:rPr>
                <w:rFonts w:ascii="Verdana" w:hAnsi="Verdana"/>
                <w:sz w:val="20"/>
                <w:szCs w:val="20"/>
              </w:rPr>
              <w:br/>
              <w:t>инж. Димитър Зоров – председател</w:t>
            </w:r>
            <w:r w:rsidR="003606C7">
              <w:rPr>
                <w:rFonts w:ascii="Verdana" w:hAnsi="Verdana"/>
                <w:sz w:val="20"/>
                <w:szCs w:val="20"/>
              </w:rPr>
              <w:br/>
            </w:r>
            <w:r w:rsidRPr="003606C7">
              <w:rPr>
                <w:rFonts w:ascii="Verdana" w:hAnsi="Verdana"/>
                <w:spacing w:val="-2"/>
                <w:sz w:val="20"/>
                <w:szCs w:val="20"/>
              </w:rPr>
              <w:t xml:space="preserve">(становище № </w:t>
            </w:r>
            <w:r w:rsidRPr="003606C7">
              <w:rPr>
                <w:rFonts w:ascii="Verdana" w:hAnsi="Verdana"/>
                <w:spacing w:val="-2"/>
                <w:sz w:val="20"/>
                <w:szCs w:val="20"/>
                <w:lang w:val="en-US"/>
              </w:rPr>
              <w:t>62</w:t>
            </w:r>
            <w:r w:rsidRPr="003606C7">
              <w:rPr>
                <w:rFonts w:ascii="Verdana" w:hAnsi="Verdana"/>
                <w:spacing w:val="-2"/>
                <w:sz w:val="20"/>
                <w:szCs w:val="20"/>
              </w:rPr>
              <w:t>-</w:t>
            </w:r>
            <w:r w:rsidRPr="003606C7">
              <w:rPr>
                <w:rFonts w:ascii="Verdana" w:hAnsi="Verdana"/>
                <w:spacing w:val="-2"/>
                <w:sz w:val="20"/>
                <w:szCs w:val="20"/>
                <w:lang w:val="en-US"/>
              </w:rPr>
              <w:t>53</w:t>
            </w:r>
            <w:r w:rsidRPr="003606C7">
              <w:rPr>
                <w:rFonts w:ascii="Verdana" w:hAnsi="Verdana"/>
                <w:spacing w:val="-2"/>
                <w:sz w:val="20"/>
                <w:szCs w:val="20"/>
              </w:rPr>
              <w:t xml:space="preserve"> от </w:t>
            </w:r>
            <w:r w:rsidRPr="003606C7">
              <w:rPr>
                <w:rFonts w:ascii="Verdana" w:hAnsi="Verdana"/>
                <w:sz w:val="20"/>
                <w:szCs w:val="20"/>
                <w:lang w:val="en-US"/>
              </w:rPr>
              <w:t xml:space="preserve">17 </w:t>
            </w:r>
            <w:r w:rsidRPr="003606C7">
              <w:rPr>
                <w:rFonts w:ascii="Verdana" w:hAnsi="Verdana"/>
                <w:sz w:val="20"/>
                <w:szCs w:val="20"/>
              </w:rPr>
              <w:t>февруари 2025 г.)</w:t>
            </w:r>
          </w:p>
        </w:tc>
        <w:tc>
          <w:tcPr>
            <w:tcW w:w="6268" w:type="dxa"/>
            <w:tcBorders>
              <w:top w:val="single" w:sz="18" w:space="0" w:color="2E74B5"/>
              <w:left w:val="single" w:sz="18" w:space="0" w:color="2E74B5"/>
              <w:bottom w:val="nil"/>
              <w:right w:val="single" w:sz="18" w:space="0" w:color="2E74B5"/>
            </w:tcBorders>
            <w:shd w:val="clear" w:color="auto" w:fill="auto"/>
          </w:tcPr>
          <w:p w14:paraId="1F9A9098" w14:textId="6C33B078"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Във връзка с помощ за компенсиране на щетите по земеделските култури, причинени от неблагоприятните климатични събития, които могат да бъдат приравнени на природни бедствия, от Националния съюз на говедовъдите в България предлагаме за подпомагане да бъдат включени, освен площите за производство на царевица за зърно, и тези, които са предназначени за производство на силаж.</w:t>
            </w:r>
          </w:p>
        </w:tc>
        <w:tc>
          <w:tcPr>
            <w:tcW w:w="1629" w:type="dxa"/>
            <w:tcBorders>
              <w:top w:val="single" w:sz="18" w:space="0" w:color="2E74B5"/>
              <w:left w:val="single" w:sz="18" w:space="0" w:color="2E74B5"/>
              <w:bottom w:val="nil"/>
              <w:right w:val="single" w:sz="18" w:space="0" w:color="2E74B5"/>
            </w:tcBorders>
            <w:shd w:val="clear" w:color="auto" w:fill="auto"/>
          </w:tcPr>
          <w:p w14:paraId="07A9D33D" w14:textId="6F5769D2" w:rsidR="008F2D55" w:rsidRPr="008F2D55" w:rsidRDefault="008F2D55" w:rsidP="008F2D55">
            <w:pPr>
              <w:spacing w:before="80" w:after="40"/>
              <w:rPr>
                <w:rFonts w:ascii="Verdana" w:hAnsi="Verdana"/>
                <w:sz w:val="20"/>
                <w:szCs w:val="20"/>
              </w:rPr>
            </w:pPr>
            <w:r w:rsidRPr="008F2D55">
              <w:rPr>
                <w:rFonts w:ascii="Verdana" w:hAnsi="Verdana"/>
                <w:sz w:val="20"/>
                <w:szCs w:val="20"/>
              </w:rPr>
              <w:t>Приема се</w:t>
            </w:r>
          </w:p>
        </w:tc>
        <w:tc>
          <w:tcPr>
            <w:tcW w:w="4522" w:type="dxa"/>
            <w:tcBorders>
              <w:top w:val="single" w:sz="18" w:space="0" w:color="2E74B5"/>
              <w:left w:val="single" w:sz="18" w:space="0" w:color="2E74B5"/>
              <w:bottom w:val="nil"/>
            </w:tcBorders>
            <w:shd w:val="clear" w:color="auto" w:fill="auto"/>
          </w:tcPr>
          <w:p w14:paraId="19199198" w14:textId="77777777" w:rsidR="008F2D55" w:rsidRPr="004674B8" w:rsidRDefault="008F2D55" w:rsidP="008F2D55">
            <w:pPr>
              <w:spacing w:before="80" w:after="40"/>
              <w:rPr>
                <w:rFonts w:ascii="Verdana" w:hAnsi="Verdana"/>
                <w:sz w:val="20"/>
                <w:szCs w:val="20"/>
              </w:rPr>
            </w:pPr>
          </w:p>
        </w:tc>
      </w:tr>
      <w:tr w:rsidR="008F2D55" w:rsidRPr="00F413E2" w14:paraId="1411B82C" w14:textId="77777777" w:rsidTr="003606C7">
        <w:trPr>
          <w:trHeight w:val="635"/>
          <w:jc w:val="center"/>
        </w:trPr>
        <w:tc>
          <w:tcPr>
            <w:tcW w:w="569" w:type="dxa"/>
            <w:tcBorders>
              <w:top w:val="nil"/>
              <w:bottom w:val="single" w:sz="24" w:space="0" w:color="2E74B5"/>
              <w:right w:val="single" w:sz="18" w:space="0" w:color="2E74B5"/>
            </w:tcBorders>
            <w:shd w:val="clear" w:color="auto" w:fill="auto"/>
          </w:tcPr>
          <w:p w14:paraId="1C0C3571" w14:textId="77777777" w:rsidR="008F2D55" w:rsidRPr="001A44B0" w:rsidRDefault="008F2D55" w:rsidP="008F2D55">
            <w:pPr>
              <w:tabs>
                <w:tab w:val="left" w:pos="192"/>
              </w:tabs>
              <w:spacing w:before="80" w:after="40"/>
              <w:ind w:left="360"/>
              <w:rPr>
                <w:rFonts w:ascii="Verdana" w:hAnsi="Verdana"/>
                <w:b/>
                <w:sz w:val="20"/>
                <w:szCs w:val="20"/>
              </w:rPr>
            </w:pPr>
          </w:p>
        </w:tc>
        <w:tc>
          <w:tcPr>
            <w:tcW w:w="2662" w:type="dxa"/>
            <w:tcBorders>
              <w:top w:val="nil"/>
              <w:left w:val="single" w:sz="18" w:space="0" w:color="2E74B5"/>
              <w:bottom w:val="single" w:sz="24" w:space="0" w:color="2E74B5"/>
              <w:right w:val="single" w:sz="18" w:space="0" w:color="2E74B5"/>
            </w:tcBorders>
            <w:shd w:val="clear" w:color="auto" w:fill="auto"/>
          </w:tcPr>
          <w:p w14:paraId="1B6B010D" w14:textId="77777777" w:rsidR="008F2D55" w:rsidRPr="00642C99" w:rsidRDefault="008F2D55" w:rsidP="008F2D55">
            <w:pPr>
              <w:spacing w:before="80" w:after="40"/>
              <w:rPr>
                <w:rFonts w:ascii="Verdana" w:hAnsi="Verdana"/>
                <w:spacing w:val="-2"/>
                <w:sz w:val="20"/>
                <w:szCs w:val="20"/>
              </w:rPr>
            </w:pPr>
          </w:p>
        </w:tc>
        <w:tc>
          <w:tcPr>
            <w:tcW w:w="6268" w:type="dxa"/>
            <w:tcBorders>
              <w:top w:val="nil"/>
              <w:left w:val="single" w:sz="18" w:space="0" w:color="2E74B5"/>
              <w:bottom w:val="single" w:sz="24" w:space="0" w:color="2E74B5"/>
              <w:right w:val="single" w:sz="18" w:space="0" w:color="2E74B5"/>
            </w:tcBorders>
            <w:shd w:val="clear" w:color="auto" w:fill="auto"/>
          </w:tcPr>
          <w:p w14:paraId="4D3C7580" w14:textId="77777777"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Царевичния силаж е най-важната част от дажбата на кравите и най-вече при тези за производство на мляко. Няма ли достатъчно качествен силаж, няма и мляко. Ясно е, че отражението ще бъде финансово за фермерите и е необходимо да получат помощ за компенсиране отчасти загубите им.</w:t>
            </w:r>
          </w:p>
          <w:p w14:paraId="731410C2" w14:textId="563281A3" w:rsidR="008F2D55" w:rsidRPr="006F374D" w:rsidRDefault="008F2D55" w:rsidP="008F2D55">
            <w:pPr>
              <w:spacing w:before="80" w:after="40"/>
              <w:jc w:val="both"/>
              <w:rPr>
                <w:rFonts w:ascii="Verdana" w:hAnsi="Verdana"/>
                <w:spacing w:val="-4"/>
                <w:sz w:val="20"/>
                <w:szCs w:val="20"/>
              </w:rPr>
            </w:pPr>
            <w:r w:rsidRPr="006F374D">
              <w:rPr>
                <w:rFonts w:ascii="Verdana" w:hAnsi="Verdana"/>
                <w:spacing w:val="-4"/>
                <w:sz w:val="20"/>
                <w:szCs w:val="20"/>
              </w:rPr>
              <w:t>Нашето предложени</w:t>
            </w:r>
            <w:r w:rsidR="009D6DA7" w:rsidRPr="006F374D">
              <w:rPr>
                <w:rFonts w:ascii="Verdana" w:hAnsi="Verdana"/>
                <w:spacing w:val="-4"/>
                <w:sz w:val="20"/>
                <w:szCs w:val="20"/>
                <w:lang w:val="en-US"/>
              </w:rPr>
              <w:t>e</w:t>
            </w:r>
            <w:r w:rsidRPr="006F374D">
              <w:rPr>
                <w:rFonts w:ascii="Verdana" w:hAnsi="Verdana"/>
                <w:spacing w:val="-4"/>
                <w:sz w:val="20"/>
                <w:szCs w:val="20"/>
              </w:rPr>
              <w:t xml:space="preserve"> е подпомагането да важи, както за царевица за зърно, така и за царевица за силаж.</w:t>
            </w:r>
          </w:p>
        </w:tc>
        <w:tc>
          <w:tcPr>
            <w:tcW w:w="1629" w:type="dxa"/>
            <w:tcBorders>
              <w:top w:val="nil"/>
              <w:left w:val="single" w:sz="18" w:space="0" w:color="2E74B5"/>
              <w:bottom w:val="single" w:sz="24" w:space="0" w:color="2E74B5"/>
              <w:right w:val="single" w:sz="18" w:space="0" w:color="2E74B5"/>
            </w:tcBorders>
            <w:shd w:val="clear" w:color="auto" w:fill="auto"/>
          </w:tcPr>
          <w:p w14:paraId="63D3D5CA" w14:textId="16C169E8" w:rsidR="008F2D55" w:rsidRPr="008F2D55" w:rsidRDefault="008F2D55" w:rsidP="008F2D55">
            <w:pPr>
              <w:spacing w:before="80" w:after="40"/>
              <w:rPr>
                <w:rFonts w:ascii="Verdana" w:hAnsi="Verdana"/>
                <w:sz w:val="20"/>
                <w:szCs w:val="20"/>
              </w:rPr>
            </w:pPr>
          </w:p>
        </w:tc>
        <w:tc>
          <w:tcPr>
            <w:tcW w:w="4522" w:type="dxa"/>
            <w:tcBorders>
              <w:top w:val="nil"/>
              <w:left w:val="single" w:sz="18" w:space="0" w:color="2E74B5"/>
              <w:bottom w:val="single" w:sz="24" w:space="0" w:color="2E74B5"/>
            </w:tcBorders>
            <w:shd w:val="clear" w:color="auto" w:fill="auto"/>
          </w:tcPr>
          <w:p w14:paraId="50BD9533" w14:textId="77777777" w:rsidR="008F2D55" w:rsidRPr="004674B8" w:rsidRDefault="008F2D55" w:rsidP="008F2D55">
            <w:pPr>
              <w:spacing w:before="80" w:after="40"/>
              <w:rPr>
                <w:rFonts w:ascii="Verdana" w:hAnsi="Verdana"/>
                <w:sz w:val="20"/>
                <w:szCs w:val="20"/>
              </w:rPr>
            </w:pPr>
          </w:p>
        </w:tc>
      </w:tr>
    </w:tbl>
    <w:p w14:paraId="5A22159A" w14:textId="0B7863E4" w:rsidR="002939A3" w:rsidRDefault="002939A3" w:rsidP="006F374D">
      <w:pPr>
        <w:spacing w:after="120"/>
        <w:rPr>
          <w:rFonts w:ascii="Verdana" w:hAnsi="Verdana" w:cs="Verdana"/>
          <w:smallCaps/>
          <w:sz w:val="20"/>
          <w:szCs w:val="20"/>
        </w:rPr>
      </w:pPr>
    </w:p>
    <w:sectPr w:rsidR="002939A3"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46EAF" w14:textId="77777777" w:rsidR="00874F99" w:rsidRDefault="00874F99">
      <w:r>
        <w:separator/>
      </w:r>
    </w:p>
  </w:endnote>
  <w:endnote w:type="continuationSeparator" w:id="0">
    <w:p w14:paraId="34056D78" w14:textId="77777777" w:rsidR="00874F99" w:rsidRDefault="00874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5F483A57"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6F374D">
          <w:rPr>
            <w:noProof/>
            <w:sz w:val="18"/>
            <w:szCs w:val="18"/>
          </w:rPr>
          <w:t>3</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ED856" w14:textId="77777777" w:rsidR="00874F99" w:rsidRDefault="00874F99">
      <w:r>
        <w:separator/>
      </w:r>
    </w:p>
  </w:footnote>
  <w:footnote w:type="continuationSeparator" w:id="0">
    <w:p w14:paraId="2837789E" w14:textId="77777777" w:rsidR="00874F99" w:rsidRDefault="00874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5E4F286D" w:rsidR="004674B8" w:rsidRPr="006F374D" w:rsidRDefault="004674B8" w:rsidP="006F374D">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8A06543"/>
    <w:multiLevelType w:val="hybridMultilevel"/>
    <w:tmpl w:val="17BC07CA"/>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A414B7"/>
    <w:multiLevelType w:val="hybridMultilevel"/>
    <w:tmpl w:val="CD106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24675E"/>
    <w:multiLevelType w:val="multilevel"/>
    <w:tmpl w:val="675C9C34"/>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6EA1392"/>
    <w:multiLevelType w:val="hybridMultilevel"/>
    <w:tmpl w:val="1166F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5"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7"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8" w15:restartNumberingAfterBreak="0">
    <w:nsid w:val="705F427D"/>
    <w:multiLevelType w:val="hybridMultilevel"/>
    <w:tmpl w:val="F12E2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3B702B"/>
    <w:multiLevelType w:val="hybridMultilevel"/>
    <w:tmpl w:val="D03AF008"/>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7"/>
  </w:num>
  <w:num w:numId="3">
    <w:abstractNumId w:val="31"/>
  </w:num>
  <w:num w:numId="4">
    <w:abstractNumId w:val="33"/>
  </w:num>
  <w:num w:numId="5">
    <w:abstractNumId w:val="22"/>
  </w:num>
  <w:num w:numId="6">
    <w:abstractNumId w:val="10"/>
  </w:num>
  <w:num w:numId="7">
    <w:abstractNumId w:val="25"/>
  </w:num>
  <w:num w:numId="8">
    <w:abstractNumId w:val="32"/>
  </w:num>
  <w:num w:numId="9">
    <w:abstractNumId w:val="6"/>
  </w:num>
  <w:num w:numId="10">
    <w:abstractNumId w:val="13"/>
  </w:num>
  <w:num w:numId="11">
    <w:abstractNumId w:val="14"/>
  </w:num>
  <w:num w:numId="12">
    <w:abstractNumId w:val="9"/>
  </w:num>
  <w:num w:numId="13">
    <w:abstractNumId w:val="5"/>
  </w:num>
  <w:num w:numId="14">
    <w:abstractNumId w:val="15"/>
  </w:num>
  <w:num w:numId="15">
    <w:abstractNumId w:val="16"/>
  </w:num>
  <w:num w:numId="16">
    <w:abstractNumId w:val="30"/>
  </w:num>
  <w:num w:numId="17">
    <w:abstractNumId w:val="1"/>
  </w:num>
  <w:num w:numId="18">
    <w:abstractNumId w:val="11"/>
  </w:num>
  <w:num w:numId="19">
    <w:abstractNumId w:val="26"/>
  </w:num>
  <w:num w:numId="20">
    <w:abstractNumId w:val="20"/>
  </w:num>
  <w:num w:numId="21">
    <w:abstractNumId w:val="2"/>
  </w:num>
  <w:num w:numId="22">
    <w:abstractNumId w:val="27"/>
  </w:num>
  <w:num w:numId="23">
    <w:abstractNumId w:val="0"/>
  </w:num>
  <w:num w:numId="24">
    <w:abstractNumId w:val="12"/>
  </w:num>
  <w:num w:numId="25">
    <w:abstractNumId w:val="24"/>
  </w:num>
  <w:num w:numId="26">
    <w:abstractNumId w:val="4"/>
  </w:num>
  <w:num w:numId="27">
    <w:abstractNumId w:val="19"/>
  </w:num>
  <w:num w:numId="28">
    <w:abstractNumId w:val="8"/>
  </w:num>
  <w:num w:numId="29">
    <w:abstractNumId w:val="28"/>
  </w:num>
  <w:num w:numId="30">
    <w:abstractNumId w:val="23"/>
  </w:num>
  <w:num w:numId="31">
    <w:abstractNumId w:val="29"/>
  </w:num>
  <w:num w:numId="32">
    <w:abstractNumId w:val="3"/>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4C66"/>
    <w:rsid w:val="00016086"/>
    <w:rsid w:val="00017817"/>
    <w:rsid w:val="000200AF"/>
    <w:rsid w:val="00020416"/>
    <w:rsid w:val="00020742"/>
    <w:rsid w:val="00022060"/>
    <w:rsid w:val="000228AA"/>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1564"/>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089"/>
    <w:rsid w:val="0008079F"/>
    <w:rsid w:val="00081D6F"/>
    <w:rsid w:val="00082171"/>
    <w:rsid w:val="000836C6"/>
    <w:rsid w:val="00084700"/>
    <w:rsid w:val="0008525A"/>
    <w:rsid w:val="00085345"/>
    <w:rsid w:val="00086434"/>
    <w:rsid w:val="000902D1"/>
    <w:rsid w:val="00090401"/>
    <w:rsid w:val="000904F5"/>
    <w:rsid w:val="000937D4"/>
    <w:rsid w:val="00093F30"/>
    <w:rsid w:val="00094AB2"/>
    <w:rsid w:val="000953A8"/>
    <w:rsid w:val="00096C33"/>
    <w:rsid w:val="00097783"/>
    <w:rsid w:val="000A084C"/>
    <w:rsid w:val="000A1017"/>
    <w:rsid w:val="000A2286"/>
    <w:rsid w:val="000A228F"/>
    <w:rsid w:val="000A3E16"/>
    <w:rsid w:val="000A78A5"/>
    <w:rsid w:val="000B1F98"/>
    <w:rsid w:val="000B279A"/>
    <w:rsid w:val="000B298E"/>
    <w:rsid w:val="000B2EB1"/>
    <w:rsid w:val="000B354E"/>
    <w:rsid w:val="000B3D5F"/>
    <w:rsid w:val="000B5C2A"/>
    <w:rsid w:val="000B64C2"/>
    <w:rsid w:val="000B6D57"/>
    <w:rsid w:val="000B7061"/>
    <w:rsid w:val="000B7EFE"/>
    <w:rsid w:val="000C036A"/>
    <w:rsid w:val="000C0A61"/>
    <w:rsid w:val="000C0D7A"/>
    <w:rsid w:val="000C1697"/>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1FD2"/>
    <w:rsid w:val="00144034"/>
    <w:rsid w:val="001440FE"/>
    <w:rsid w:val="0014437A"/>
    <w:rsid w:val="00150E61"/>
    <w:rsid w:val="00150EA4"/>
    <w:rsid w:val="0015266F"/>
    <w:rsid w:val="00152D3A"/>
    <w:rsid w:val="001551C4"/>
    <w:rsid w:val="00155A70"/>
    <w:rsid w:val="00155CAF"/>
    <w:rsid w:val="00156E5A"/>
    <w:rsid w:val="0016097E"/>
    <w:rsid w:val="00162248"/>
    <w:rsid w:val="001668E1"/>
    <w:rsid w:val="00167D39"/>
    <w:rsid w:val="00167F77"/>
    <w:rsid w:val="00170505"/>
    <w:rsid w:val="0017183E"/>
    <w:rsid w:val="00172CCB"/>
    <w:rsid w:val="00175004"/>
    <w:rsid w:val="00177AA6"/>
    <w:rsid w:val="00177CAC"/>
    <w:rsid w:val="00177D2B"/>
    <w:rsid w:val="001808B4"/>
    <w:rsid w:val="0018509E"/>
    <w:rsid w:val="0019192E"/>
    <w:rsid w:val="00192D6A"/>
    <w:rsid w:val="001948B0"/>
    <w:rsid w:val="00195194"/>
    <w:rsid w:val="00195AD0"/>
    <w:rsid w:val="00195DA3"/>
    <w:rsid w:val="00196671"/>
    <w:rsid w:val="001A02C9"/>
    <w:rsid w:val="001A0680"/>
    <w:rsid w:val="001A1452"/>
    <w:rsid w:val="001A29AE"/>
    <w:rsid w:val="001A3975"/>
    <w:rsid w:val="001A3D29"/>
    <w:rsid w:val="001A44B0"/>
    <w:rsid w:val="001B4CD8"/>
    <w:rsid w:val="001C23BF"/>
    <w:rsid w:val="001C5BF3"/>
    <w:rsid w:val="001C6E95"/>
    <w:rsid w:val="001D23F0"/>
    <w:rsid w:val="001D2756"/>
    <w:rsid w:val="001D362A"/>
    <w:rsid w:val="001D60F3"/>
    <w:rsid w:val="001D76CD"/>
    <w:rsid w:val="001E13F5"/>
    <w:rsid w:val="001E174B"/>
    <w:rsid w:val="001E317C"/>
    <w:rsid w:val="001E4FB9"/>
    <w:rsid w:val="001E4FE9"/>
    <w:rsid w:val="001E4FEC"/>
    <w:rsid w:val="001E64F2"/>
    <w:rsid w:val="001F0567"/>
    <w:rsid w:val="001F0866"/>
    <w:rsid w:val="001F11E9"/>
    <w:rsid w:val="001F12BF"/>
    <w:rsid w:val="001F1BB7"/>
    <w:rsid w:val="001F1F60"/>
    <w:rsid w:val="001F22A3"/>
    <w:rsid w:val="001F2736"/>
    <w:rsid w:val="001F314D"/>
    <w:rsid w:val="001F4710"/>
    <w:rsid w:val="001F6BC2"/>
    <w:rsid w:val="001F718C"/>
    <w:rsid w:val="00200292"/>
    <w:rsid w:val="0020103A"/>
    <w:rsid w:val="00201455"/>
    <w:rsid w:val="00201739"/>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68F"/>
    <w:rsid w:val="00282A08"/>
    <w:rsid w:val="002854C9"/>
    <w:rsid w:val="0028566B"/>
    <w:rsid w:val="002900C5"/>
    <w:rsid w:val="00290725"/>
    <w:rsid w:val="00291E9B"/>
    <w:rsid w:val="002939A3"/>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C03AF"/>
    <w:rsid w:val="002C16B8"/>
    <w:rsid w:val="002C1BB7"/>
    <w:rsid w:val="002C2EEA"/>
    <w:rsid w:val="002C3BA2"/>
    <w:rsid w:val="002C475B"/>
    <w:rsid w:val="002C5843"/>
    <w:rsid w:val="002C65BA"/>
    <w:rsid w:val="002C7F10"/>
    <w:rsid w:val="002D083C"/>
    <w:rsid w:val="002D18C3"/>
    <w:rsid w:val="002D2176"/>
    <w:rsid w:val="002D4904"/>
    <w:rsid w:val="002D51E1"/>
    <w:rsid w:val="002D629F"/>
    <w:rsid w:val="002E0082"/>
    <w:rsid w:val="002E03DD"/>
    <w:rsid w:val="002E11F9"/>
    <w:rsid w:val="002E4664"/>
    <w:rsid w:val="002E4EDB"/>
    <w:rsid w:val="002E537C"/>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10259"/>
    <w:rsid w:val="0031083E"/>
    <w:rsid w:val="00312FB3"/>
    <w:rsid w:val="003140DF"/>
    <w:rsid w:val="00314B98"/>
    <w:rsid w:val="00314F63"/>
    <w:rsid w:val="003154C2"/>
    <w:rsid w:val="00316618"/>
    <w:rsid w:val="00321BD0"/>
    <w:rsid w:val="00322547"/>
    <w:rsid w:val="00323382"/>
    <w:rsid w:val="0032394D"/>
    <w:rsid w:val="003246BD"/>
    <w:rsid w:val="00326B58"/>
    <w:rsid w:val="003302BD"/>
    <w:rsid w:val="00330507"/>
    <w:rsid w:val="00330936"/>
    <w:rsid w:val="00331CF9"/>
    <w:rsid w:val="003336CE"/>
    <w:rsid w:val="00333BD7"/>
    <w:rsid w:val="00340212"/>
    <w:rsid w:val="00342665"/>
    <w:rsid w:val="00344138"/>
    <w:rsid w:val="00345060"/>
    <w:rsid w:val="00345B9F"/>
    <w:rsid w:val="00346856"/>
    <w:rsid w:val="00351063"/>
    <w:rsid w:val="00351EC7"/>
    <w:rsid w:val="00352461"/>
    <w:rsid w:val="003555CD"/>
    <w:rsid w:val="00356131"/>
    <w:rsid w:val="003561F2"/>
    <w:rsid w:val="003606C7"/>
    <w:rsid w:val="003628A2"/>
    <w:rsid w:val="003635FA"/>
    <w:rsid w:val="003640F0"/>
    <w:rsid w:val="003645F1"/>
    <w:rsid w:val="00367DA5"/>
    <w:rsid w:val="003709C0"/>
    <w:rsid w:val="0037191E"/>
    <w:rsid w:val="00371937"/>
    <w:rsid w:val="003737F2"/>
    <w:rsid w:val="00373B55"/>
    <w:rsid w:val="00377A96"/>
    <w:rsid w:val="00377FE2"/>
    <w:rsid w:val="00382966"/>
    <w:rsid w:val="003839A4"/>
    <w:rsid w:val="003845BB"/>
    <w:rsid w:val="00384B8B"/>
    <w:rsid w:val="00387130"/>
    <w:rsid w:val="00387162"/>
    <w:rsid w:val="003903E2"/>
    <w:rsid w:val="00390D8E"/>
    <w:rsid w:val="0039116F"/>
    <w:rsid w:val="00395655"/>
    <w:rsid w:val="003A060F"/>
    <w:rsid w:val="003A48EE"/>
    <w:rsid w:val="003A7841"/>
    <w:rsid w:val="003B4449"/>
    <w:rsid w:val="003B629A"/>
    <w:rsid w:val="003C12C5"/>
    <w:rsid w:val="003C1F1E"/>
    <w:rsid w:val="003C2DC3"/>
    <w:rsid w:val="003C3769"/>
    <w:rsid w:val="003C3996"/>
    <w:rsid w:val="003C557F"/>
    <w:rsid w:val="003C563D"/>
    <w:rsid w:val="003C5C7B"/>
    <w:rsid w:val="003C7D91"/>
    <w:rsid w:val="003D0AA2"/>
    <w:rsid w:val="003D0C7F"/>
    <w:rsid w:val="003D138A"/>
    <w:rsid w:val="003D49CF"/>
    <w:rsid w:val="003D6231"/>
    <w:rsid w:val="003D70E0"/>
    <w:rsid w:val="003E111B"/>
    <w:rsid w:val="003E140F"/>
    <w:rsid w:val="003E1677"/>
    <w:rsid w:val="003E361D"/>
    <w:rsid w:val="003F0B3B"/>
    <w:rsid w:val="003F1EE5"/>
    <w:rsid w:val="003F2026"/>
    <w:rsid w:val="003F29BC"/>
    <w:rsid w:val="003F3728"/>
    <w:rsid w:val="003F6D22"/>
    <w:rsid w:val="003F7612"/>
    <w:rsid w:val="003F7CD4"/>
    <w:rsid w:val="00400DC8"/>
    <w:rsid w:val="004027A6"/>
    <w:rsid w:val="00403EE0"/>
    <w:rsid w:val="0040510D"/>
    <w:rsid w:val="00407815"/>
    <w:rsid w:val="004137A2"/>
    <w:rsid w:val="00414F26"/>
    <w:rsid w:val="00415D7B"/>
    <w:rsid w:val="00417315"/>
    <w:rsid w:val="00420A7D"/>
    <w:rsid w:val="00420F8B"/>
    <w:rsid w:val="00420FA6"/>
    <w:rsid w:val="00422E98"/>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D0B"/>
    <w:rsid w:val="0045662D"/>
    <w:rsid w:val="00456843"/>
    <w:rsid w:val="004604F1"/>
    <w:rsid w:val="00461920"/>
    <w:rsid w:val="004646DE"/>
    <w:rsid w:val="004674B8"/>
    <w:rsid w:val="0046759A"/>
    <w:rsid w:val="00467C52"/>
    <w:rsid w:val="00470D89"/>
    <w:rsid w:val="004719B1"/>
    <w:rsid w:val="0047261C"/>
    <w:rsid w:val="004739BA"/>
    <w:rsid w:val="004739E7"/>
    <w:rsid w:val="004741D2"/>
    <w:rsid w:val="00475298"/>
    <w:rsid w:val="00483378"/>
    <w:rsid w:val="00483594"/>
    <w:rsid w:val="00487E51"/>
    <w:rsid w:val="00490845"/>
    <w:rsid w:val="00493B7A"/>
    <w:rsid w:val="004942CA"/>
    <w:rsid w:val="004942F7"/>
    <w:rsid w:val="0049486D"/>
    <w:rsid w:val="00496618"/>
    <w:rsid w:val="004972E2"/>
    <w:rsid w:val="004A0A82"/>
    <w:rsid w:val="004A207E"/>
    <w:rsid w:val="004A27CC"/>
    <w:rsid w:val="004A285F"/>
    <w:rsid w:val="004A55AC"/>
    <w:rsid w:val="004A5E2A"/>
    <w:rsid w:val="004A6AE4"/>
    <w:rsid w:val="004A70C4"/>
    <w:rsid w:val="004B047B"/>
    <w:rsid w:val="004B0FCA"/>
    <w:rsid w:val="004B290C"/>
    <w:rsid w:val="004B2D14"/>
    <w:rsid w:val="004B2E13"/>
    <w:rsid w:val="004B413F"/>
    <w:rsid w:val="004B4FC8"/>
    <w:rsid w:val="004B5B51"/>
    <w:rsid w:val="004B735F"/>
    <w:rsid w:val="004B755C"/>
    <w:rsid w:val="004C0598"/>
    <w:rsid w:val="004C0606"/>
    <w:rsid w:val="004C0F07"/>
    <w:rsid w:val="004C1080"/>
    <w:rsid w:val="004C2F1C"/>
    <w:rsid w:val="004C3BA8"/>
    <w:rsid w:val="004C420B"/>
    <w:rsid w:val="004C6279"/>
    <w:rsid w:val="004C77FA"/>
    <w:rsid w:val="004C7869"/>
    <w:rsid w:val="004D24E9"/>
    <w:rsid w:val="004D3191"/>
    <w:rsid w:val="004D5FF9"/>
    <w:rsid w:val="004E0260"/>
    <w:rsid w:val="004E07E7"/>
    <w:rsid w:val="004E16EE"/>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D1C"/>
    <w:rsid w:val="00506006"/>
    <w:rsid w:val="005061E4"/>
    <w:rsid w:val="0050720B"/>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1789"/>
    <w:rsid w:val="00532E4B"/>
    <w:rsid w:val="005335CB"/>
    <w:rsid w:val="00533991"/>
    <w:rsid w:val="00534E66"/>
    <w:rsid w:val="005354D0"/>
    <w:rsid w:val="00540693"/>
    <w:rsid w:val="005408A3"/>
    <w:rsid w:val="00540C53"/>
    <w:rsid w:val="00540EEE"/>
    <w:rsid w:val="00541692"/>
    <w:rsid w:val="005417F3"/>
    <w:rsid w:val="005424B9"/>
    <w:rsid w:val="00543E05"/>
    <w:rsid w:val="005462B1"/>
    <w:rsid w:val="00550BC0"/>
    <w:rsid w:val="00551A67"/>
    <w:rsid w:val="005525EA"/>
    <w:rsid w:val="005531AA"/>
    <w:rsid w:val="00554B28"/>
    <w:rsid w:val="00554CC1"/>
    <w:rsid w:val="00560023"/>
    <w:rsid w:val="00560A43"/>
    <w:rsid w:val="00563FA3"/>
    <w:rsid w:val="005644C8"/>
    <w:rsid w:val="00564500"/>
    <w:rsid w:val="00564E98"/>
    <w:rsid w:val="00565E93"/>
    <w:rsid w:val="00566018"/>
    <w:rsid w:val="00572F83"/>
    <w:rsid w:val="00573E06"/>
    <w:rsid w:val="00576520"/>
    <w:rsid w:val="005778C6"/>
    <w:rsid w:val="00577AC1"/>
    <w:rsid w:val="005818DD"/>
    <w:rsid w:val="00583A7E"/>
    <w:rsid w:val="00586A0B"/>
    <w:rsid w:val="00586CF4"/>
    <w:rsid w:val="005913D0"/>
    <w:rsid w:val="00591B69"/>
    <w:rsid w:val="00593C01"/>
    <w:rsid w:val="00597BAA"/>
    <w:rsid w:val="00597D5D"/>
    <w:rsid w:val="005A1896"/>
    <w:rsid w:val="005A1DB1"/>
    <w:rsid w:val="005A224A"/>
    <w:rsid w:val="005A28D2"/>
    <w:rsid w:val="005A338B"/>
    <w:rsid w:val="005A3AC5"/>
    <w:rsid w:val="005A3BFE"/>
    <w:rsid w:val="005A407D"/>
    <w:rsid w:val="005A4A9A"/>
    <w:rsid w:val="005A5DAE"/>
    <w:rsid w:val="005A6A09"/>
    <w:rsid w:val="005A6C42"/>
    <w:rsid w:val="005B19E3"/>
    <w:rsid w:val="005B6646"/>
    <w:rsid w:val="005B7002"/>
    <w:rsid w:val="005C2DFD"/>
    <w:rsid w:val="005C43C6"/>
    <w:rsid w:val="005C4BE7"/>
    <w:rsid w:val="005C585C"/>
    <w:rsid w:val="005C61F4"/>
    <w:rsid w:val="005C7A87"/>
    <w:rsid w:val="005D0610"/>
    <w:rsid w:val="005D06F0"/>
    <w:rsid w:val="005D094A"/>
    <w:rsid w:val="005D0F46"/>
    <w:rsid w:val="005D1127"/>
    <w:rsid w:val="005D276C"/>
    <w:rsid w:val="005D3B47"/>
    <w:rsid w:val="005D5B4B"/>
    <w:rsid w:val="005D72C5"/>
    <w:rsid w:val="005D733F"/>
    <w:rsid w:val="005D7364"/>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5C36"/>
    <w:rsid w:val="005F630F"/>
    <w:rsid w:val="005F69DF"/>
    <w:rsid w:val="005F7565"/>
    <w:rsid w:val="0060094C"/>
    <w:rsid w:val="00600B63"/>
    <w:rsid w:val="00601137"/>
    <w:rsid w:val="00603B50"/>
    <w:rsid w:val="006040E1"/>
    <w:rsid w:val="006047B5"/>
    <w:rsid w:val="006047CE"/>
    <w:rsid w:val="0060491C"/>
    <w:rsid w:val="00604A61"/>
    <w:rsid w:val="00610231"/>
    <w:rsid w:val="006124CF"/>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C99"/>
    <w:rsid w:val="00642D90"/>
    <w:rsid w:val="00645DFC"/>
    <w:rsid w:val="00646859"/>
    <w:rsid w:val="0065019C"/>
    <w:rsid w:val="00653A78"/>
    <w:rsid w:val="00653E67"/>
    <w:rsid w:val="00656642"/>
    <w:rsid w:val="00656BDA"/>
    <w:rsid w:val="0066109E"/>
    <w:rsid w:val="00661A0C"/>
    <w:rsid w:val="00662188"/>
    <w:rsid w:val="00662BFF"/>
    <w:rsid w:val="00663337"/>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2560"/>
    <w:rsid w:val="006940E7"/>
    <w:rsid w:val="00694141"/>
    <w:rsid w:val="006941C8"/>
    <w:rsid w:val="00697863"/>
    <w:rsid w:val="006A0CE3"/>
    <w:rsid w:val="006A0D8A"/>
    <w:rsid w:val="006A343F"/>
    <w:rsid w:val="006A36D7"/>
    <w:rsid w:val="006A3AD5"/>
    <w:rsid w:val="006A512F"/>
    <w:rsid w:val="006A5395"/>
    <w:rsid w:val="006A6D9B"/>
    <w:rsid w:val="006A70E2"/>
    <w:rsid w:val="006B054D"/>
    <w:rsid w:val="006B0FEE"/>
    <w:rsid w:val="006B1DCF"/>
    <w:rsid w:val="006B20EC"/>
    <w:rsid w:val="006B310C"/>
    <w:rsid w:val="006B4070"/>
    <w:rsid w:val="006B5C18"/>
    <w:rsid w:val="006B5E2B"/>
    <w:rsid w:val="006B6B69"/>
    <w:rsid w:val="006B72E2"/>
    <w:rsid w:val="006C1B92"/>
    <w:rsid w:val="006C1FAA"/>
    <w:rsid w:val="006C33EC"/>
    <w:rsid w:val="006C4DE1"/>
    <w:rsid w:val="006C5DD9"/>
    <w:rsid w:val="006C605F"/>
    <w:rsid w:val="006C6A82"/>
    <w:rsid w:val="006D1DF2"/>
    <w:rsid w:val="006D1F20"/>
    <w:rsid w:val="006D2BDD"/>
    <w:rsid w:val="006D389B"/>
    <w:rsid w:val="006D4254"/>
    <w:rsid w:val="006D56B7"/>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282A"/>
    <w:rsid w:val="006F33DD"/>
    <w:rsid w:val="006F35F8"/>
    <w:rsid w:val="006F374D"/>
    <w:rsid w:val="006F3C8E"/>
    <w:rsid w:val="006F4526"/>
    <w:rsid w:val="006F5502"/>
    <w:rsid w:val="006F5CE3"/>
    <w:rsid w:val="006F6420"/>
    <w:rsid w:val="006F6923"/>
    <w:rsid w:val="006F6ABC"/>
    <w:rsid w:val="007023DB"/>
    <w:rsid w:val="00702B18"/>
    <w:rsid w:val="007030A8"/>
    <w:rsid w:val="007038DB"/>
    <w:rsid w:val="00704988"/>
    <w:rsid w:val="00705659"/>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61CF"/>
    <w:rsid w:val="00731B88"/>
    <w:rsid w:val="00732DEB"/>
    <w:rsid w:val="007362EB"/>
    <w:rsid w:val="00736B76"/>
    <w:rsid w:val="00736C03"/>
    <w:rsid w:val="007377F2"/>
    <w:rsid w:val="00737BC4"/>
    <w:rsid w:val="00737D3E"/>
    <w:rsid w:val="0074014A"/>
    <w:rsid w:val="007423F8"/>
    <w:rsid w:val="007431DE"/>
    <w:rsid w:val="00743EFE"/>
    <w:rsid w:val="00745349"/>
    <w:rsid w:val="0074534D"/>
    <w:rsid w:val="007511D5"/>
    <w:rsid w:val="007516D1"/>
    <w:rsid w:val="00751E85"/>
    <w:rsid w:val="0075213E"/>
    <w:rsid w:val="00752B84"/>
    <w:rsid w:val="00753049"/>
    <w:rsid w:val="007561A9"/>
    <w:rsid w:val="00756242"/>
    <w:rsid w:val="00756290"/>
    <w:rsid w:val="00756A19"/>
    <w:rsid w:val="0076108C"/>
    <w:rsid w:val="00761343"/>
    <w:rsid w:val="00761B5E"/>
    <w:rsid w:val="0076408A"/>
    <w:rsid w:val="0076648E"/>
    <w:rsid w:val="00773B96"/>
    <w:rsid w:val="00773DD9"/>
    <w:rsid w:val="00774BE7"/>
    <w:rsid w:val="00775304"/>
    <w:rsid w:val="00776A84"/>
    <w:rsid w:val="00777754"/>
    <w:rsid w:val="007806A8"/>
    <w:rsid w:val="00781306"/>
    <w:rsid w:val="00781635"/>
    <w:rsid w:val="007836C8"/>
    <w:rsid w:val="007851BB"/>
    <w:rsid w:val="0078714E"/>
    <w:rsid w:val="00790ADA"/>
    <w:rsid w:val="00791B20"/>
    <w:rsid w:val="0079338C"/>
    <w:rsid w:val="007934F1"/>
    <w:rsid w:val="00794229"/>
    <w:rsid w:val="00795A1B"/>
    <w:rsid w:val="007970F0"/>
    <w:rsid w:val="007971F3"/>
    <w:rsid w:val="00797C76"/>
    <w:rsid w:val="007A151B"/>
    <w:rsid w:val="007A1BCA"/>
    <w:rsid w:val="007A30DD"/>
    <w:rsid w:val="007A3401"/>
    <w:rsid w:val="007A4157"/>
    <w:rsid w:val="007A597D"/>
    <w:rsid w:val="007A6B37"/>
    <w:rsid w:val="007B0848"/>
    <w:rsid w:val="007B1141"/>
    <w:rsid w:val="007B24F7"/>
    <w:rsid w:val="007B3D33"/>
    <w:rsid w:val="007B47A9"/>
    <w:rsid w:val="007B4CFC"/>
    <w:rsid w:val="007B5C10"/>
    <w:rsid w:val="007B6DCF"/>
    <w:rsid w:val="007B6FFE"/>
    <w:rsid w:val="007C0484"/>
    <w:rsid w:val="007C393A"/>
    <w:rsid w:val="007C6C8E"/>
    <w:rsid w:val="007D09DC"/>
    <w:rsid w:val="007D2DFD"/>
    <w:rsid w:val="007D4566"/>
    <w:rsid w:val="007D6B06"/>
    <w:rsid w:val="007D6FD8"/>
    <w:rsid w:val="007D76D7"/>
    <w:rsid w:val="007E11C0"/>
    <w:rsid w:val="007E249E"/>
    <w:rsid w:val="007E4DF7"/>
    <w:rsid w:val="007E5ED7"/>
    <w:rsid w:val="007E6242"/>
    <w:rsid w:val="007E633B"/>
    <w:rsid w:val="007E6AD6"/>
    <w:rsid w:val="007E79B3"/>
    <w:rsid w:val="007F1072"/>
    <w:rsid w:val="007F130B"/>
    <w:rsid w:val="007F135A"/>
    <w:rsid w:val="007F1CED"/>
    <w:rsid w:val="007F36E7"/>
    <w:rsid w:val="007F4563"/>
    <w:rsid w:val="007F5275"/>
    <w:rsid w:val="007F65A9"/>
    <w:rsid w:val="00800079"/>
    <w:rsid w:val="0080232E"/>
    <w:rsid w:val="00803CA0"/>
    <w:rsid w:val="008053FB"/>
    <w:rsid w:val="008059AC"/>
    <w:rsid w:val="00807EF1"/>
    <w:rsid w:val="008125C1"/>
    <w:rsid w:val="00812789"/>
    <w:rsid w:val="00813EBF"/>
    <w:rsid w:val="00816EA1"/>
    <w:rsid w:val="00817D17"/>
    <w:rsid w:val="00821662"/>
    <w:rsid w:val="00824BA3"/>
    <w:rsid w:val="00825F4B"/>
    <w:rsid w:val="00826F86"/>
    <w:rsid w:val="00827492"/>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85B"/>
    <w:rsid w:val="00846E8D"/>
    <w:rsid w:val="008476BF"/>
    <w:rsid w:val="00847CFC"/>
    <w:rsid w:val="008508D5"/>
    <w:rsid w:val="0085319B"/>
    <w:rsid w:val="00853C0E"/>
    <w:rsid w:val="008543EB"/>
    <w:rsid w:val="00854E7C"/>
    <w:rsid w:val="00855317"/>
    <w:rsid w:val="00855962"/>
    <w:rsid w:val="00857187"/>
    <w:rsid w:val="00860921"/>
    <w:rsid w:val="00860FE7"/>
    <w:rsid w:val="00861994"/>
    <w:rsid w:val="00861CE5"/>
    <w:rsid w:val="0086226E"/>
    <w:rsid w:val="00864193"/>
    <w:rsid w:val="0086505F"/>
    <w:rsid w:val="00865EE3"/>
    <w:rsid w:val="0086600C"/>
    <w:rsid w:val="00872A86"/>
    <w:rsid w:val="00873354"/>
    <w:rsid w:val="00873393"/>
    <w:rsid w:val="00874481"/>
    <w:rsid w:val="00874F99"/>
    <w:rsid w:val="00875D88"/>
    <w:rsid w:val="00881967"/>
    <w:rsid w:val="008835B5"/>
    <w:rsid w:val="0088605D"/>
    <w:rsid w:val="008869FA"/>
    <w:rsid w:val="00887913"/>
    <w:rsid w:val="00890675"/>
    <w:rsid w:val="0089123B"/>
    <w:rsid w:val="00891BE7"/>
    <w:rsid w:val="00893255"/>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999"/>
    <w:rsid w:val="008A6FF9"/>
    <w:rsid w:val="008A721D"/>
    <w:rsid w:val="008B2280"/>
    <w:rsid w:val="008B48E6"/>
    <w:rsid w:val="008B6A6F"/>
    <w:rsid w:val="008C01F4"/>
    <w:rsid w:val="008C0503"/>
    <w:rsid w:val="008C09DD"/>
    <w:rsid w:val="008C4A55"/>
    <w:rsid w:val="008C4E10"/>
    <w:rsid w:val="008C5E5E"/>
    <w:rsid w:val="008D08F5"/>
    <w:rsid w:val="008D0DDB"/>
    <w:rsid w:val="008D2069"/>
    <w:rsid w:val="008D2350"/>
    <w:rsid w:val="008D3425"/>
    <w:rsid w:val="008D3FD0"/>
    <w:rsid w:val="008D56D6"/>
    <w:rsid w:val="008D579B"/>
    <w:rsid w:val="008D583E"/>
    <w:rsid w:val="008D7657"/>
    <w:rsid w:val="008E1CC8"/>
    <w:rsid w:val="008E24D8"/>
    <w:rsid w:val="008E2B39"/>
    <w:rsid w:val="008E3970"/>
    <w:rsid w:val="008E3AC0"/>
    <w:rsid w:val="008E502A"/>
    <w:rsid w:val="008E51F3"/>
    <w:rsid w:val="008E6946"/>
    <w:rsid w:val="008E6E39"/>
    <w:rsid w:val="008E7705"/>
    <w:rsid w:val="008E77F4"/>
    <w:rsid w:val="008E7AF3"/>
    <w:rsid w:val="008E7E4D"/>
    <w:rsid w:val="008F02CC"/>
    <w:rsid w:val="008F119C"/>
    <w:rsid w:val="008F1D1A"/>
    <w:rsid w:val="008F2B7E"/>
    <w:rsid w:val="008F2D55"/>
    <w:rsid w:val="008F3218"/>
    <w:rsid w:val="008F35DB"/>
    <w:rsid w:val="008F39D3"/>
    <w:rsid w:val="008F4969"/>
    <w:rsid w:val="008F5129"/>
    <w:rsid w:val="008F540F"/>
    <w:rsid w:val="008F6393"/>
    <w:rsid w:val="008F6748"/>
    <w:rsid w:val="00901E19"/>
    <w:rsid w:val="00901F49"/>
    <w:rsid w:val="00902FF9"/>
    <w:rsid w:val="00904B60"/>
    <w:rsid w:val="00905EB8"/>
    <w:rsid w:val="00905F3A"/>
    <w:rsid w:val="009066B0"/>
    <w:rsid w:val="0090679B"/>
    <w:rsid w:val="0090782D"/>
    <w:rsid w:val="00912765"/>
    <w:rsid w:val="00913A84"/>
    <w:rsid w:val="0091523F"/>
    <w:rsid w:val="0091558A"/>
    <w:rsid w:val="00915DE1"/>
    <w:rsid w:val="009167F2"/>
    <w:rsid w:val="00917058"/>
    <w:rsid w:val="00923C45"/>
    <w:rsid w:val="00924F7D"/>
    <w:rsid w:val="0092693D"/>
    <w:rsid w:val="0093024B"/>
    <w:rsid w:val="00931102"/>
    <w:rsid w:val="009312BE"/>
    <w:rsid w:val="00932D4A"/>
    <w:rsid w:val="00936B7F"/>
    <w:rsid w:val="00937544"/>
    <w:rsid w:val="009415CD"/>
    <w:rsid w:val="0094334A"/>
    <w:rsid w:val="0094343E"/>
    <w:rsid w:val="00943E2F"/>
    <w:rsid w:val="00944EC7"/>
    <w:rsid w:val="00950B10"/>
    <w:rsid w:val="00952B5A"/>
    <w:rsid w:val="00952D0A"/>
    <w:rsid w:val="00953FD7"/>
    <w:rsid w:val="00954732"/>
    <w:rsid w:val="009551F9"/>
    <w:rsid w:val="00956BD2"/>
    <w:rsid w:val="0096092A"/>
    <w:rsid w:val="00962715"/>
    <w:rsid w:val="00963058"/>
    <w:rsid w:val="00963AE2"/>
    <w:rsid w:val="00963E96"/>
    <w:rsid w:val="00966C16"/>
    <w:rsid w:val="00966D12"/>
    <w:rsid w:val="00972F4C"/>
    <w:rsid w:val="00975F5E"/>
    <w:rsid w:val="00977612"/>
    <w:rsid w:val="009806A4"/>
    <w:rsid w:val="009827FE"/>
    <w:rsid w:val="00983B09"/>
    <w:rsid w:val="00984646"/>
    <w:rsid w:val="00984A42"/>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A5D98"/>
    <w:rsid w:val="009B1744"/>
    <w:rsid w:val="009B1EE9"/>
    <w:rsid w:val="009B3DAC"/>
    <w:rsid w:val="009B4A5C"/>
    <w:rsid w:val="009B568A"/>
    <w:rsid w:val="009C08B5"/>
    <w:rsid w:val="009C4545"/>
    <w:rsid w:val="009C4DFC"/>
    <w:rsid w:val="009D0944"/>
    <w:rsid w:val="009D281A"/>
    <w:rsid w:val="009D6626"/>
    <w:rsid w:val="009D6D2E"/>
    <w:rsid w:val="009D6DA7"/>
    <w:rsid w:val="009D753B"/>
    <w:rsid w:val="009E0CEB"/>
    <w:rsid w:val="009E206F"/>
    <w:rsid w:val="009E60E1"/>
    <w:rsid w:val="009E6C5E"/>
    <w:rsid w:val="009E7717"/>
    <w:rsid w:val="009E7FF1"/>
    <w:rsid w:val="009F0E78"/>
    <w:rsid w:val="009F11F0"/>
    <w:rsid w:val="009F142B"/>
    <w:rsid w:val="009F23CB"/>
    <w:rsid w:val="009F399F"/>
    <w:rsid w:val="009F51FA"/>
    <w:rsid w:val="009F5722"/>
    <w:rsid w:val="009F7176"/>
    <w:rsid w:val="00A02072"/>
    <w:rsid w:val="00A0334B"/>
    <w:rsid w:val="00A046B0"/>
    <w:rsid w:val="00A04A98"/>
    <w:rsid w:val="00A11D46"/>
    <w:rsid w:val="00A153F6"/>
    <w:rsid w:val="00A163D9"/>
    <w:rsid w:val="00A16F07"/>
    <w:rsid w:val="00A21CA6"/>
    <w:rsid w:val="00A23452"/>
    <w:rsid w:val="00A2462D"/>
    <w:rsid w:val="00A24AF0"/>
    <w:rsid w:val="00A25535"/>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70E"/>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A2F"/>
    <w:rsid w:val="00A6623B"/>
    <w:rsid w:val="00A669EE"/>
    <w:rsid w:val="00A67068"/>
    <w:rsid w:val="00A7058C"/>
    <w:rsid w:val="00A70B39"/>
    <w:rsid w:val="00A71585"/>
    <w:rsid w:val="00A72224"/>
    <w:rsid w:val="00A72662"/>
    <w:rsid w:val="00A72BA6"/>
    <w:rsid w:val="00A76B61"/>
    <w:rsid w:val="00A84BCB"/>
    <w:rsid w:val="00A85598"/>
    <w:rsid w:val="00A856B0"/>
    <w:rsid w:val="00A8607A"/>
    <w:rsid w:val="00A86D8D"/>
    <w:rsid w:val="00A90530"/>
    <w:rsid w:val="00A917A9"/>
    <w:rsid w:val="00A919EA"/>
    <w:rsid w:val="00A91A2A"/>
    <w:rsid w:val="00A94977"/>
    <w:rsid w:val="00A94B87"/>
    <w:rsid w:val="00A95EA9"/>
    <w:rsid w:val="00A9750F"/>
    <w:rsid w:val="00AA035C"/>
    <w:rsid w:val="00AA138C"/>
    <w:rsid w:val="00AA599A"/>
    <w:rsid w:val="00AA5E2F"/>
    <w:rsid w:val="00AB14BD"/>
    <w:rsid w:val="00AB2360"/>
    <w:rsid w:val="00AB33F2"/>
    <w:rsid w:val="00AB5812"/>
    <w:rsid w:val="00AB5BFC"/>
    <w:rsid w:val="00AB66D3"/>
    <w:rsid w:val="00AB7845"/>
    <w:rsid w:val="00AC135D"/>
    <w:rsid w:val="00AC2072"/>
    <w:rsid w:val="00AC309B"/>
    <w:rsid w:val="00AC40DC"/>
    <w:rsid w:val="00AC4ECB"/>
    <w:rsid w:val="00AD2CB9"/>
    <w:rsid w:val="00AD3F9D"/>
    <w:rsid w:val="00AD42EA"/>
    <w:rsid w:val="00AD4746"/>
    <w:rsid w:val="00AD5010"/>
    <w:rsid w:val="00AE14CA"/>
    <w:rsid w:val="00AE20C4"/>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23A0"/>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760F"/>
    <w:rsid w:val="00B31B92"/>
    <w:rsid w:val="00B320D9"/>
    <w:rsid w:val="00B320F2"/>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47831"/>
    <w:rsid w:val="00B5167A"/>
    <w:rsid w:val="00B5191C"/>
    <w:rsid w:val="00B51F46"/>
    <w:rsid w:val="00B52067"/>
    <w:rsid w:val="00B533C2"/>
    <w:rsid w:val="00B54833"/>
    <w:rsid w:val="00B556DA"/>
    <w:rsid w:val="00B560AF"/>
    <w:rsid w:val="00B5758A"/>
    <w:rsid w:val="00B6338C"/>
    <w:rsid w:val="00B6355E"/>
    <w:rsid w:val="00B64471"/>
    <w:rsid w:val="00B65B84"/>
    <w:rsid w:val="00B67AE2"/>
    <w:rsid w:val="00B7272A"/>
    <w:rsid w:val="00B728C8"/>
    <w:rsid w:val="00B73133"/>
    <w:rsid w:val="00B731C3"/>
    <w:rsid w:val="00B74629"/>
    <w:rsid w:val="00B75093"/>
    <w:rsid w:val="00B75F90"/>
    <w:rsid w:val="00B77A23"/>
    <w:rsid w:val="00B8036D"/>
    <w:rsid w:val="00B803D5"/>
    <w:rsid w:val="00B81FC2"/>
    <w:rsid w:val="00B82C78"/>
    <w:rsid w:val="00B84A5C"/>
    <w:rsid w:val="00B87124"/>
    <w:rsid w:val="00B92D10"/>
    <w:rsid w:val="00B93671"/>
    <w:rsid w:val="00B93841"/>
    <w:rsid w:val="00B946EA"/>
    <w:rsid w:val="00B948D2"/>
    <w:rsid w:val="00B94908"/>
    <w:rsid w:val="00B95598"/>
    <w:rsid w:val="00B973EF"/>
    <w:rsid w:val="00BA302B"/>
    <w:rsid w:val="00BA34A2"/>
    <w:rsid w:val="00BA3657"/>
    <w:rsid w:val="00BA4635"/>
    <w:rsid w:val="00BA478A"/>
    <w:rsid w:val="00BA66F5"/>
    <w:rsid w:val="00BA726F"/>
    <w:rsid w:val="00BB2E89"/>
    <w:rsid w:val="00BB5958"/>
    <w:rsid w:val="00BC09A4"/>
    <w:rsid w:val="00BC2111"/>
    <w:rsid w:val="00BC2C53"/>
    <w:rsid w:val="00BC61FD"/>
    <w:rsid w:val="00BC6272"/>
    <w:rsid w:val="00BD0FA0"/>
    <w:rsid w:val="00BD0FD6"/>
    <w:rsid w:val="00BD284B"/>
    <w:rsid w:val="00BD2B98"/>
    <w:rsid w:val="00BD2F6E"/>
    <w:rsid w:val="00BD7382"/>
    <w:rsid w:val="00BD7BD3"/>
    <w:rsid w:val="00BE0D0E"/>
    <w:rsid w:val="00BE1037"/>
    <w:rsid w:val="00BE379A"/>
    <w:rsid w:val="00BE395D"/>
    <w:rsid w:val="00BE4037"/>
    <w:rsid w:val="00BE482D"/>
    <w:rsid w:val="00BE5DB7"/>
    <w:rsid w:val="00BE667E"/>
    <w:rsid w:val="00BE6BFB"/>
    <w:rsid w:val="00BF0159"/>
    <w:rsid w:val="00BF3308"/>
    <w:rsid w:val="00BF4B9B"/>
    <w:rsid w:val="00BF5B8B"/>
    <w:rsid w:val="00BF5D30"/>
    <w:rsid w:val="00BF6075"/>
    <w:rsid w:val="00C00CF3"/>
    <w:rsid w:val="00C01B41"/>
    <w:rsid w:val="00C02FA6"/>
    <w:rsid w:val="00C03495"/>
    <w:rsid w:val="00C06AA4"/>
    <w:rsid w:val="00C104FE"/>
    <w:rsid w:val="00C10A8D"/>
    <w:rsid w:val="00C118F2"/>
    <w:rsid w:val="00C11946"/>
    <w:rsid w:val="00C12C61"/>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8DB"/>
    <w:rsid w:val="00C75FCC"/>
    <w:rsid w:val="00C77FAF"/>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3CCF"/>
    <w:rsid w:val="00CD518F"/>
    <w:rsid w:val="00CE192F"/>
    <w:rsid w:val="00CE2A7F"/>
    <w:rsid w:val="00CE3610"/>
    <w:rsid w:val="00CE3E8C"/>
    <w:rsid w:val="00CE5CE6"/>
    <w:rsid w:val="00CF00CF"/>
    <w:rsid w:val="00CF24CD"/>
    <w:rsid w:val="00CF2922"/>
    <w:rsid w:val="00CF3D00"/>
    <w:rsid w:val="00CF4EF2"/>
    <w:rsid w:val="00CF5221"/>
    <w:rsid w:val="00CF5822"/>
    <w:rsid w:val="00CF5841"/>
    <w:rsid w:val="00CF5A9B"/>
    <w:rsid w:val="00CF61A2"/>
    <w:rsid w:val="00CF6672"/>
    <w:rsid w:val="00D01B92"/>
    <w:rsid w:val="00D01DA1"/>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2F"/>
    <w:rsid w:val="00D36CA4"/>
    <w:rsid w:val="00D37896"/>
    <w:rsid w:val="00D400D4"/>
    <w:rsid w:val="00D4181C"/>
    <w:rsid w:val="00D41A30"/>
    <w:rsid w:val="00D469E3"/>
    <w:rsid w:val="00D50A41"/>
    <w:rsid w:val="00D52ABB"/>
    <w:rsid w:val="00D5313C"/>
    <w:rsid w:val="00D532DC"/>
    <w:rsid w:val="00D53C2C"/>
    <w:rsid w:val="00D53C62"/>
    <w:rsid w:val="00D606F0"/>
    <w:rsid w:val="00D6078A"/>
    <w:rsid w:val="00D62F5A"/>
    <w:rsid w:val="00D63557"/>
    <w:rsid w:val="00D63B71"/>
    <w:rsid w:val="00D63E4A"/>
    <w:rsid w:val="00D63E9B"/>
    <w:rsid w:val="00D660EE"/>
    <w:rsid w:val="00D71C75"/>
    <w:rsid w:val="00D72C9C"/>
    <w:rsid w:val="00D76AAD"/>
    <w:rsid w:val="00D76DCC"/>
    <w:rsid w:val="00D82A70"/>
    <w:rsid w:val="00D82B55"/>
    <w:rsid w:val="00D83702"/>
    <w:rsid w:val="00D838C4"/>
    <w:rsid w:val="00D85B99"/>
    <w:rsid w:val="00D863D3"/>
    <w:rsid w:val="00D96355"/>
    <w:rsid w:val="00D9659F"/>
    <w:rsid w:val="00D96BC4"/>
    <w:rsid w:val="00D96DF5"/>
    <w:rsid w:val="00D97D6D"/>
    <w:rsid w:val="00DA01F4"/>
    <w:rsid w:val="00DA0F8B"/>
    <w:rsid w:val="00DA4C8E"/>
    <w:rsid w:val="00DA704B"/>
    <w:rsid w:val="00DB4FE0"/>
    <w:rsid w:val="00DB5EFB"/>
    <w:rsid w:val="00DB75E1"/>
    <w:rsid w:val="00DC60E2"/>
    <w:rsid w:val="00DC61A2"/>
    <w:rsid w:val="00DD0B73"/>
    <w:rsid w:val="00DD0E14"/>
    <w:rsid w:val="00DD139E"/>
    <w:rsid w:val="00DD4DA6"/>
    <w:rsid w:val="00DD5BC5"/>
    <w:rsid w:val="00DD7AA4"/>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15B8"/>
    <w:rsid w:val="00E02445"/>
    <w:rsid w:val="00E02F88"/>
    <w:rsid w:val="00E043C4"/>
    <w:rsid w:val="00E047E9"/>
    <w:rsid w:val="00E0521D"/>
    <w:rsid w:val="00E067C5"/>
    <w:rsid w:val="00E074E3"/>
    <w:rsid w:val="00E12CA3"/>
    <w:rsid w:val="00E13B7B"/>
    <w:rsid w:val="00E142EC"/>
    <w:rsid w:val="00E146EF"/>
    <w:rsid w:val="00E158DF"/>
    <w:rsid w:val="00E2037B"/>
    <w:rsid w:val="00E219F5"/>
    <w:rsid w:val="00E2203D"/>
    <w:rsid w:val="00E220AD"/>
    <w:rsid w:val="00E222BB"/>
    <w:rsid w:val="00E22517"/>
    <w:rsid w:val="00E23F30"/>
    <w:rsid w:val="00E24A81"/>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89E"/>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4"/>
    <w:rsid w:val="00E77098"/>
    <w:rsid w:val="00E7793E"/>
    <w:rsid w:val="00E7794B"/>
    <w:rsid w:val="00E77A8F"/>
    <w:rsid w:val="00E804F0"/>
    <w:rsid w:val="00E845EB"/>
    <w:rsid w:val="00E8474D"/>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C4D"/>
    <w:rsid w:val="00EF4D25"/>
    <w:rsid w:val="00EF72B0"/>
    <w:rsid w:val="00EF7E8F"/>
    <w:rsid w:val="00F00BB9"/>
    <w:rsid w:val="00F00C40"/>
    <w:rsid w:val="00F00CD5"/>
    <w:rsid w:val="00F010D9"/>
    <w:rsid w:val="00F01245"/>
    <w:rsid w:val="00F03EE5"/>
    <w:rsid w:val="00F04A79"/>
    <w:rsid w:val="00F05DE8"/>
    <w:rsid w:val="00F06310"/>
    <w:rsid w:val="00F12F9E"/>
    <w:rsid w:val="00F138D2"/>
    <w:rsid w:val="00F15297"/>
    <w:rsid w:val="00F206BD"/>
    <w:rsid w:val="00F20732"/>
    <w:rsid w:val="00F21CF6"/>
    <w:rsid w:val="00F228CA"/>
    <w:rsid w:val="00F23427"/>
    <w:rsid w:val="00F26EAA"/>
    <w:rsid w:val="00F30D37"/>
    <w:rsid w:val="00F334DB"/>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76E"/>
    <w:rsid w:val="00F61E91"/>
    <w:rsid w:val="00F651AA"/>
    <w:rsid w:val="00F66641"/>
    <w:rsid w:val="00F73987"/>
    <w:rsid w:val="00F75DFC"/>
    <w:rsid w:val="00F7694A"/>
    <w:rsid w:val="00F80721"/>
    <w:rsid w:val="00F80CD3"/>
    <w:rsid w:val="00F80FDF"/>
    <w:rsid w:val="00F84BCC"/>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0E86"/>
    <w:rsid w:val="00FC1343"/>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8954130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EB9F6-5140-4D70-9EF3-F7914D1DA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7509</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2025-02-18T13:24:00Z</dcterms:created>
  <dcterms:modified xsi:type="dcterms:W3CDTF">2025-02-20T07:36:00Z</dcterms:modified>
</cp:coreProperties>
</file>