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09E" w:rsidRDefault="00E7009E">
      <w:pPr>
        <w:pStyle w:val="Header"/>
        <w:tabs>
          <w:tab w:val="clear" w:pos="4153"/>
          <w:tab w:val="clear" w:pos="8306"/>
        </w:tabs>
      </w:pPr>
    </w:p>
    <w:p w:rsidR="005E4372" w:rsidRPr="001E213A" w:rsidRDefault="005E4372" w:rsidP="005E4372">
      <w:pPr>
        <w:spacing w:before="120" w:after="0" w:line="300" w:lineRule="exact"/>
        <w:ind w:firstLine="4961"/>
        <w:rPr>
          <w:rFonts w:ascii="Times New Roman" w:hAnsi="Times New Roman"/>
          <w:b/>
          <w:sz w:val="26"/>
          <w:szCs w:val="26"/>
        </w:rPr>
      </w:pPr>
      <w:r w:rsidRPr="001E213A">
        <w:rPr>
          <w:rFonts w:ascii="Times New Roman" w:hAnsi="Times New Roman"/>
          <w:b/>
          <w:sz w:val="26"/>
          <w:szCs w:val="26"/>
        </w:rPr>
        <w:t>ДО</w:t>
      </w:r>
    </w:p>
    <w:p w:rsidR="005E4372" w:rsidRPr="001E213A" w:rsidRDefault="005E4372" w:rsidP="005E4372">
      <w:pPr>
        <w:keepNext/>
        <w:spacing w:before="120" w:after="0" w:line="300" w:lineRule="exact"/>
        <w:ind w:firstLine="4961"/>
        <w:outlineLvl w:val="4"/>
        <w:rPr>
          <w:rFonts w:ascii="Times New Roman" w:hAnsi="Times New Roman"/>
          <w:b/>
          <w:sz w:val="26"/>
          <w:szCs w:val="26"/>
        </w:rPr>
      </w:pPr>
      <w:r w:rsidRPr="001E213A">
        <w:rPr>
          <w:rFonts w:ascii="Times New Roman" w:hAnsi="Times New Roman"/>
          <w:b/>
          <w:sz w:val="26"/>
          <w:szCs w:val="26"/>
        </w:rPr>
        <w:t>МИНИСТЕРСКИЯ СЪВЕТ</w:t>
      </w:r>
    </w:p>
    <w:p w:rsidR="005E4372" w:rsidRPr="001E213A" w:rsidRDefault="005E4372" w:rsidP="005E4372">
      <w:pPr>
        <w:keepNext/>
        <w:spacing w:before="120" w:after="0" w:line="300" w:lineRule="exact"/>
        <w:ind w:firstLine="4961"/>
        <w:outlineLvl w:val="5"/>
        <w:rPr>
          <w:rFonts w:ascii="Times New Roman" w:hAnsi="Times New Roman"/>
          <w:b/>
          <w:sz w:val="26"/>
          <w:szCs w:val="26"/>
        </w:rPr>
      </w:pPr>
      <w:r w:rsidRPr="001E213A">
        <w:rPr>
          <w:rFonts w:ascii="Times New Roman" w:hAnsi="Times New Roman"/>
          <w:b/>
          <w:sz w:val="26"/>
          <w:szCs w:val="26"/>
        </w:rPr>
        <w:t>НА РЕПУБЛИКА БЪЛГАРИЯ</w:t>
      </w:r>
    </w:p>
    <w:p w:rsidR="005E4372" w:rsidRPr="009D0F32" w:rsidRDefault="005E4372" w:rsidP="005E4372">
      <w:pPr>
        <w:spacing w:before="120" w:after="0" w:line="300" w:lineRule="exact"/>
        <w:ind w:firstLine="0"/>
        <w:rPr>
          <w:rFonts w:ascii="Times New Roman" w:hAnsi="Times New Roman"/>
          <w:szCs w:val="24"/>
        </w:rPr>
      </w:pPr>
    </w:p>
    <w:p w:rsidR="005E4372" w:rsidRPr="009D0F32" w:rsidRDefault="005E4372" w:rsidP="005E4372">
      <w:pPr>
        <w:spacing w:before="120" w:after="0" w:line="300" w:lineRule="exact"/>
        <w:ind w:firstLine="0"/>
        <w:rPr>
          <w:rFonts w:ascii="Times New Roman" w:hAnsi="Times New Roman"/>
          <w:szCs w:val="24"/>
        </w:rPr>
      </w:pPr>
    </w:p>
    <w:p w:rsidR="005E4372" w:rsidRPr="001E213A" w:rsidRDefault="005E4372" w:rsidP="005E4372">
      <w:pPr>
        <w:keepNext/>
        <w:spacing w:before="120" w:after="0" w:line="300" w:lineRule="exact"/>
        <w:ind w:firstLine="0"/>
        <w:jc w:val="center"/>
        <w:outlineLvl w:val="2"/>
        <w:rPr>
          <w:rFonts w:ascii="Times New Roman" w:hAnsi="Times New Roman"/>
          <w:b/>
          <w:sz w:val="36"/>
          <w:szCs w:val="36"/>
        </w:rPr>
      </w:pPr>
      <w:r w:rsidRPr="001E213A">
        <w:rPr>
          <w:rFonts w:ascii="Times New Roman" w:hAnsi="Times New Roman"/>
          <w:b/>
          <w:sz w:val="36"/>
          <w:szCs w:val="36"/>
        </w:rPr>
        <w:t>Д О К Л А Д</w:t>
      </w:r>
    </w:p>
    <w:p w:rsidR="005E4372" w:rsidRPr="009D0F32" w:rsidRDefault="005E4372" w:rsidP="005E4372">
      <w:pPr>
        <w:spacing w:before="120" w:after="0" w:line="300" w:lineRule="exact"/>
        <w:ind w:firstLine="0"/>
        <w:rPr>
          <w:szCs w:val="24"/>
        </w:rPr>
      </w:pPr>
    </w:p>
    <w:p w:rsidR="005E4372" w:rsidRPr="001E213A" w:rsidRDefault="000C50D4" w:rsidP="000C50D4">
      <w:pPr>
        <w:keepNext/>
        <w:spacing w:before="120" w:after="0" w:line="300" w:lineRule="exact"/>
        <w:ind w:firstLine="426"/>
        <w:jc w:val="center"/>
        <w:outlineLvl w:val="3"/>
        <w:rPr>
          <w:rFonts w:ascii="Times New Roman" w:hAnsi="Times New Roman"/>
          <w:b/>
          <w:caps/>
          <w:sz w:val="26"/>
          <w:szCs w:val="26"/>
        </w:rPr>
      </w:pPr>
      <w:r w:rsidRPr="000C50D4">
        <w:rPr>
          <w:rFonts w:ascii="Times New Roman" w:hAnsi="Times New Roman"/>
          <w:b/>
          <w:sz w:val="26"/>
          <w:szCs w:val="26"/>
        </w:rPr>
        <w:t xml:space="preserve">от </w:t>
      </w:r>
      <w:r w:rsidR="0066716F">
        <w:rPr>
          <w:rFonts w:ascii="Times New Roman" w:hAnsi="Times New Roman"/>
          <w:b/>
          <w:caps/>
          <w:sz w:val="26"/>
          <w:szCs w:val="26"/>
        </w:rPr>
        <w:t>АСЕН ВАСИЛЕВ</w:t>
      </w:r>
      <w:r w:rsidR="005E4372" w:rsidRPr="001E213A">
        <w:rPr>
          <w:rFonts w:ascii="Times New Roman" w:hAnsi="Times New Roman"/>
          <w:b/>
          <w:caps/>
          <w:sz w:val="26"/>
          <w:szCs w:val="26"/>
        </w:rPr>
        <w:t xml:space="preserve"> –  </w:t>
      </w:r>
      <w:r w:rsidRPr="00EC5C93">
        <w:rPr>
          <w:rFonts w:ascii="Times New Roman" w:hAnsi="Times New Roman"/>
          <w:b/>
          <w:sz w:val="28"/>
          <w:szCs w:val="28"/>
        </w:rPr>
        <w:t xml:space="preserve">заместник-министър председател по </w:t>
      </w:r>
      <w:proofErr w:type="spellStart"/>
      <w:r w:rsidRPr="00EC5C93">
        <w:rPr>
          <w:rFonts w:ascii="Times New Roman" w:hAnsi="Times New Roman"/>
          <w:b/>
          <w:sz w:val="28"/>
          <w:szCs w:val="28"/>
        </w:rPr>
        <w:t>еврофондовете</w:t>
      </w:r>
      <w:proofErr w:type="spellEnd"/>
      <w:r w:rsidRPr="00EC5C93">
        <w:rPr>
          <w:rFonts w:ascii="Times New Roman" w:hAnsi="Times New Roman"/>
          <w:b/>
          <w:sz w:val="28"/>
          <w:szCs w:val="28"/>
        </w:rPr>
        <w:t xml:space="preserve"> и министър на финанси</w:t>
      </w:r>
      <w:r>
        <w:rPr>
          <w:rFonts w:ascii="Times New Roman" w:hAnsi="Times New Roman"/>
          <w:b/>
          <w:sz w:val="28"/>
          <w:szCs w:val="28"/>
        </w:rPr>
        <w:t>те</w:t>
      </w:r>
      <w:r>
        <w:rPr>
          <w:rFonts w:ascii="Times New Roman" w:hAnsi="Times New Roman"/>
          <w:b/>
          <w:caps/>
          <w:sz w:val="26"/>
          <w:szCs w:val="26"/>
        </w:rPr>
        <w:t xml:space="preserve"> </w:t>
      </w:r>
    </w:p>
    <w:p w:rsidR="005E4372" w:rsidRPr="009D0F32" w:rsidRDefault="005E4372" w:rsidP="005E4372">
      <w:pPr>
        <w:spacing w:before="120" w:after="0" w:line="300" w:lineRule="exact"/>
        <w:ind w:left="2280" w:hanging="1539"/>
        <w:rPr>
          <w:rFonts w:ascii="Times New Roman" w:hAnsi="Times New Roman"/>
          <w:b/>
          <w:caps/>
          <w:szCs w:val="24"/>
          <w:u w:val="single"/>
        </w:rPr>
      </w:pPr>
    </w:p>
    <w:p w:rsidR="005E4372" w:rsidRPr="001E213A" w:rsidRDefault="005E4372" w:rsidP="005E4372">
      <w:pPr>
        <w:spacing w:before="120" w:after="0" w:line="300" w:lineRule="exact"/>
        <w:ind w:left="2127" w:hanging="1557"/>
        <w:rPr>
          <w:rFonts w:ascii="Times New Roman" w:hAnsi="Times New Roman"/>
          <w:b/>
          <w:sz w:val="26"/>
          <w:szCs w:val="26"/>
        </w:rPr>
      </w:pPr>
      <w:r w:rsidRPr="001E213A">
        <w:rPr>
          <w:rFonts w:ascii="Times New Roman" w:hAnsi="Times New Roman"/>
          <w:b/>
          <w:caps/>
          <w:sz w:val="26"/>
          <w:szCs w:val="26"/>
          <w:u w:val="single"/>
        </w:rPr>
        <w:t>Относно:</w:t>
      </w:r>
      <w:r w:rsidRPr="001E213A">
        <w:rPr>
          <w:rFonts w:ascii="Times New Roman" w:hAnsi="Times New Roman"/>
          <w:b/>
          <w:sz w:val="26"/>
          <w:szCs w:val="26"/>
        </w:rPr>
        <w:t xml:space="preserve"> </w:t>
      </w:r>
      <w:r w:rsidRPr="001E213A">
        <w:rPr>
          <w:rFonts w:ascii="Times New Roman" w:hAnsi="Times New Roman"/>
          <w:bCs/>
          <w:sz w:val="26"/>
          <w:szCs w:val="26"/>
        </w:rPr>
        <w:t xml:space="preserve">Проект на Решение на Министерския съвет за одобряване на законопроект за </w:t>
      </w:r>
      <w:r w:rsidR="002A0D50" w:rsidRPr="001E213A">
        <w:rPr>
          <w:rFonts w:ascii="Times New Roman" w:hAnsi="Times New Roman"/>
          <w:bCs/>
          <w:sz w:val="26"/>
          <w:szCs w:val="26"/>
        </w:rPr>
        <w:t xml:space="preserve">изменение и допълнение на Закона за </w:t>
      </w:r>
      <w:r w:rsidRPr="001E213A">
        <w:rPr>
          <w:rFonts w:ascii="Times New Roman" w:hAnsi="Times New Roman"/>
          <w:bCs/>
          <w:sz w:val="26"/>
          <w:szCs w:val="26"/>
        </w:rPr>
        <w:t>държавния бюджет на Република България за 20</w:t>
      </w:r>
      <w:r w:rsidR="0015762C">
        <w:rPr>
          <w:rFonts w:ascii="Times New Roman" w:hAnsi="Times New Roman"/>
          <w:bCs/>
          <w:sz w:val="26"/>
          <w:szCs w:val="26"/>
        </w:rPr>
        <w:t>2</w:t>
      </w:r>
      <w:r w:rsidR="006603E1">
        <w:rPr>
          <w:rFonts w:ascii="Times New Roman" w:hAnsi="Times New Roman"/>
          <w:bCs/>
          <w:sz w:val="26"/>
          <w:szCs w:val="26"/>
        </w:rPr>
        <w:t>2</w:t>
      </w:r>
      <w:r w:rsidRPr="001E213A">
        <w:rPr>
          <w:rFonts w:ascii="Times New Roman" w:hAnsi="Times New Roman"/>
          <w:bCs/>
          <w:sz w:val="26"/>
          <w:szCs w:val="26"/>
        </w:rPr>
        <w:t xml:space="preserve"> г. </w:t>
      </w:r>
    </w:p>
    <w:p w:rsidR="005E4372" w:rsidRPr="009D0F32" w:rsidRDefault="005E4372" w:rsidP="005E4372">
      <w:pPr>
        <w:spacing w:before="120" w:after="0" w:line="300" w:lineRule="exact"/>
        <w:ind w:firstLine="0"/>
        <w:rPr>
          <w:rFonts w:ascii="Times New Roman" w:hAnsi="Times New Roman"/>
          <w:b/>
          <w:caps/>
          <w:szCs w:val="24"/>
        </w:rPr>
      </w:pPr>
    </w:p>
    <w:p w:rsidR="005E4372" w:rsidRPr="009D0F32" w:rsidRDefault="005E4372" w:rsidP="005E4372">
      <w:pPr>
        <w:spacing w:before="120" w:after="0" w:line="300" w:lineRule="exact"/>
        <w:ind w:firstLine="0"/>
        <w:rPr>
          <w:rFonts w:ascii="Times New Roman" w:hAnsi="Times New Roman"/>
          <w:b/>
          <w:caps/>
          <w:szCs w:val="24"/>
        </w:rPr>
      </w:pPr>
    </w:p>
    <w:p w:rsidR="005E4372" w:rsidRPr="009D0F32" w:rsidRDefault="005E4372" w:rsidP="005E4372">
      <w:pPr>
        <w:spacing w:before="120" w:line="240" w:lineRule="auto"/>
        <w:rPr>
          <w:rFonts w:ascii="Times New Roman" w:hAnsi="Times New Roman"/>
          <w:b/>
          <w:smallCaps/>
          <w:szCs w:val="24"/>
        </w:rPr>
      </w:pPr>
      <w:r w:rsidRPr="009D0F32">
        <w:rPr>
          <w:rFonts w:ascii="Times New Roman" w:hAnsi="Times New Roman"/>
          <w:b/>
          <w:caps/>
          <w:szCs w:val="24"/>
        </w:rPr>
        <w:t>Уважаеми господин Министър-председател</w:t>
      </w:r>
      <w:r w:rsidRPr="009D0F32">
        <w:rPr>
          <w:rFonts w:ascii="Times New Roman" w:hAnsi="Times New Roman"/>
          <w:b/>
          <w:smallCaps/>
          <w:szCs w:val="24"/>
        </w:rPr>
        <w:t>,</w:t>
      </w:r>
    </w:p>
    <w:p w:rsidR="005E4372" w:rsidRPr="009D0F32" w:rsidRDefault="005E4372" w:rsidP="005E4372">
      <w:pPr>
        <w:spacing w:line="240" w:lineRule="auto"/>
        <w:rPr>
          <w:rFonts w:ascii="Times New Roman" w:hAnsi="Times New Roman"/>
          <w:b/>
          <w:smallCaps/>
          <w:szCs w:val="24"/>
        </w:rPr>
      </w:pPr>
      <w:r w:rsidRPr="009D0F32">
        <w:rPr>
          <w:rFonts w:ascii="Times New Roman" w:hAnsi="Times New Roman"/>
          <w:b/>
          <w:smallCaps/>
          <w:szCs w:val="24"/>
        </w:rPr>
        <w:t>УВАЖАЕМИ ГОСПОЖИ И ГОСПОДА МИНИСТРИ,</w:t>
      </w:r>
    </w:p>
    <w:p w:rsidR="00FE2EC7" w:rsidRPr="00FE6AC5" w:rsidRDefault="00FE2EC7" w:rsidP="00FE2EC7">
      <w:pPr>
        <w:spacing w:line="240" w:lineRule="auto"/>
        <w:ind w:firstLine="0"/>
        <w:rPr>
          <w:rFonts w:ascii="Times New Roman" w:hAnsi="Times New Roman"/>
          <w:sz w:val="12"/>
          <w:szCs w:val="12"/>
        </w:rPr>
      </w:pPr>
    </w:p>
    <w:p w:rsidR="005E4372" w:rsidRDefault="005E4372" w:rsidP="00FE2EC7">
      <w:pPr>
        <w:spacing w:line="240" w:lineRule="auto"/>
        <w:ind w:firstLine="0"/>
        <w:rPr>
          <w:rFonts w:ascii="Times New Roman" w:hAnsi="Times New Roman"/>
          <w:sz w:val="26"/>
          <w:szCs w:val="26"/>
        </w:rPr>
      </w:pPr>
      <w:r w:rsidRPr="001E213A">
        <w:rPr>
          <w:rFonts w:ascii="Times New Roman" w:hAnsi="Times New Roman"/>
          <w:sz w:val="26"/>
          <w:szCs w:val="26"/>
        </w:rPr>
        <w:t xml:space="preserve">На основание чл. 31, ал. 2 от Устройствения правилник на Министерския съвет и на неговата администрация представям на Вашето внимание проект на Решение на Министерския съвет за одобряване на </w:t>
      </w:r>
      <w:r w:rsidR="002A0D50" w:rsidRPr="001E213A">
        <w:rPr>
          <w:rFonts w:ascii="Times New Roman" w:hAnsi="Times New Roman"/>
          <w:bCs/>
          <w:sz w:val="26"/>
          <w:szCs w:val="26"/>
        </w:rPr>
        <w:t>законопроект за изменение и допълнение на Закона за държавния бюджет на Република България за 20</w:t>
      </w:r>
      <w:r w:rsidR="0015762C">
        <w:rPr>
          <w:rFonts w:ascii="Times New Roman" w:hAnsi="Times New Roman"/>
          <w:bCs/>
          <w:sz w:val="26"/>
          <w:szCs w:val="26"/>
        </w:rPr>
        <w:t>2</w:t>
      </w:r>
      <w:r w:rsidR="006603E1">
        <w:rPr>
          <w:rFonts w:ascii="Times New Roman" w:hAnsi="Times New Roman"/>
          <w:bCs/>
          <w:sz w:val="26"/>
          <w:szCs w:val="26"/>
        </w:rPr>
        <w:t>2</w:t>
      </w:r>
      <w:r w:rsidR="002A0D50" w:rsidRPr="001E213A">
        <w:rPr>
          <w:rFonts w:ascii="Times New Roman" w:hAnsi="Times New Roman"/>
          <w:bCs/>
          <w:sz w:val="26"/>
          <w:szCs w:val="26"/>
        </w:rPr>
        <w:t xml:space="preserve"> г.</w:t>
      </w:r>
      <w:r w:rsidRPr="001E213A">
        <w:rPr>
          <w:rFonts w:ascii="Times New Roman" w:hAnsi="Times New Roman"/>
          <w:sz w:val="26"/>
          <w:szCs w:val="26"/>
        </w:rPr>
        <w:t xml:space="preserve"> </w:t>
      </w:r>
    </w:p>
    <w:p w:rsidR="000D3226" w:rsidRPr="000D3226" w:rsidRDefault="000D3226" w:rsidP="000D3226">
      <w:pPr>
        <w:spacing w:line="240" w:lineRule="auto"/>
        <w:ind w:firstLine="0"/>
        <w:rPr>
          <w:rFonts w:ascii="Times New Roman" w:hAnsi="Times New Roman"/>
          <w:sz w:val="26"/>
          <w:szCs w:val="26"/>
        </w:rPr>
      </w:pPr>
      <w:r w:rsidRPr="000D3226">
        <w:rPr>
          <w:rFonts w:ascii="Times New Roman" w:hAnsi="Times New Roman"/>
          <w:sz w:val="26"/>
          <w:szCs w:val="26"/>
        </w:rPr>
        <w:t xml:space="preserve">В изпълнение на постигнатите политически договорености между коалиционните партньори за предприемане на спешни антикризисни мерки и поетите ангажименти при обсъжданията и приемането на закона за бюджета за настоящата година, правителството предлага проект на Закон за изменение и допълнение на Закона за държавния бюджет на Република България за 2022  г. (ЗИД на ЗДБРБ за 2022 г.). Законопроектът предвижда спешен пакет от антикризисни мерки, насочени към намаляване на негативните последствия от </w:t>
      </w:r>
      <w:r w:rsidR="003F48BF">
        <w:rPr>
          <w:rFonts w:ascii="Times New Roman" w:hAnsi="Times New Roman"/>
          <w:sz w:val="26"/>
          <w:szCs w:val="26"/>
        </w:rPr>
        <w:t>увеличаващите се</w:t>
      </w:r>
      <w:r w:rsidRPr="000D3226">
        <w:rPr>
          <w:rFonts w:ascii="Times New Roman" w:hAnsi="Times New Roman"/>
          <w:sz w:val="26"/>
          <w:szCs w:val="26"/>
        </w:rPr>
        <w:t xml:space="preserve"> цени на горивата и енергоносителите, съответно нарастващия инфлационен натиск върху най-засегнатите групи от обществото и бизнеса. Целта е да се подкрепят българските граждани и бизнеса в условията на безпрецедентна криза, породена от военните действия в Украйна и да се смекчат сътресенията, предизвикани от високите цени на енергоносителите и суровините за уязвимите групи от обществото и за икономиката на България. </w:t>
      </w:r>
    </w:p>
    <w:p w:rsidR="000D3226" w:rsidRPr="000D3226" w:rsidRDefault="000D3226" w:rsidP="000D3226">
      <w:pPr>
        <w:spacing w:line="240" w:lineRule="auto"/>
        <w:ind w:firstLine="0"/>
        <w:rPr>
          <w:rFonts w:ascii="Times New Roman" w:hAnsi="Times New Roman"/>
          <w:sz w:val="26"/>
          <w:szCs w:val="26"/>
        </w:rPr>
      </w:pPr>
      <w:r w:rsidRPr="000D3226">
        <w:rPr>
          <w:rFonts w:ascii="Times New Roman" w:hAnsi="Times New Roman"/>
          <w:sz w:val="26"/>
          <w:szCs w:val="26"/>
        </w:rPr>
        <w:lastRenderedPageBreak/>
        <w:t xml:space="preserve">Поредицата от шокове върху пазарите на енергоносители, горива и суровини и нарушените вериги за доставки след избухването на конфликта в Украйна промениха икономическите перспективи и създадоха безпрецедентни рискове за редица сектори на икономиката. Европейският съюз и в частност България се сблъскват със значителен скок на цените както на нефта, природния газ и електрическата енергия, така и на цените на основни хранителни продукти, породени от нарасналото търсене в европейски и световен мащаб. От друга страна, тези шокове доведоха и до допълнително ускоряване на инфлацията при голяма част от стоките, което застрашава хората с ниски доходи и може да увеличи значително групата на лицата с доходи под линията на бедност. На този фон от изключително значение е социалната система да подкрепи най-уязвимите групи от обществото, като заедно с това държавата създаде механизми за подпомагане на бизнеса в краткосрочен план във връзка с високите цени на горивата и електроенергията и продължи активно да търси възможности за диверсификация на източниците и трасетата на доставка. </w:t>
      </w:r>
    </w:p>
    <w:p w:rsidR="000D3226" w:rsidRPr="000D3226" w:rsidRDefault="000D3226" w:rsidP="000D3226">
      <w:pPr>
        <w:spacing w:line="240" w:lineRule="auto"/>
        <w:ind w:firstLine="0"/>
        <w:rPr>
          <w:rFonts w:ascii="Times New Roman" w:hAnsi="Times New Roman"/>
          <w:sz w:val="26"/>
          <w:szCs w:val="26"/>
        </w:rPr>
      </w:pPr>
      <w:r>
        <w:rPr>
          <w:rFonts w:ascii="Times New Roman" w:hAnsi="Times New Roman"/>
          <w:sz w:val="26"/>
          <w:szCs w:val="26"/>
        </w:rPr>
        <w:t>П</w:t>
      </w:r>
      <w:r w:rsidRPr="000D3226">
        <w:rPr>
          <w:rFonts w:ascii="Times New Roman" w:hAnsi="Times New Roman"/>
          <w:sz w:val="26"/>
          <w:szCs w:val="26"/>
        </w:rPr>
        <w:t xml:space="preserve">равителството предвижда запазване на целевото ниво на салдото по консолидираната фискална програма (КФП) като процент от </w:t>
      </w:r>
      <w:r>
        <w:rPr>
          <w:rFonts w:ascii="Times New Roman" w:hAnsi="Times New Roman"/>
          <w:sz w:val="26"/>
          <w:szCs w:val="26"/>
        </w:rPr>
        <w:t>б</w:t>
      </w:r>
      <w:r w:rsidRPr="000D3226">
        <w:rPr>
          <w:rFonts w:ascii="Times New Roman" w:hAnsi="Times New Roman"/>
          <w:sz w:val="26"/>
          <w:szCs w:val="26"/>
        </w:rPr>
        <w:t>рутния вътрешен продукт (БВП) непроменено спрямо разчетите към първоначалния ЗДБРБ за 2022</w:t>
      </w:r>
      <w:r w:rsidR="004D6A75">
        <w:rPr>
          <w:rFonts w:ascii="Times New Roman" w:hAnsi="Times New Roman"/>
          <w:sz w:val="26"/>
          <w:szCs w:val="26"/>
        </w:rPr>
        <w:t xml:space="preserve"> </w:t>
      </w:r>
      <w:r w:rsidRPr="000D3226">
        <w:rPr>
          <w:rFonts w:ascii="Times New Roman" w:hAnsi="Times New Roman"/>
          <w:sz w:val="26"/>
          <w:szCs w:val="26"/>
        </w:rPr>
        <w:t xml:space="preserve">г., като основната част от необходимия ресурс за пакета антикризисни мерки следва да бъде обезпечен за сметка на по-високи приходи </w:t>
      </w:r>
      <w:r>
        <w:rPr>
          <w:rFonts w:ascii="Times New Roman" w:hAnsi="Times New Roman"/>
          <w:sz w:val="26"/>
          <w:szCs w:val="26"/>
        </w:rPr>
        <w:t>от</w:t>
      </w:r>
      <w:r w:rsidRPr="000D3226">
        <w:rPr>
          <w:rFonts w:ascii="Times New Roman" w:hAnsi="Times New Roman"/>
          <w:sz w:val="26"/>
          <w:szCs w:val="26"/>
        </w:rPr>
        <w:t xml:space="preserve"> заложените в план</w:t>
      </w:r>
      <w:r w:rsidR="003F48BF">
        <w:rPr>
          <w:rFonts w:ascii="Times New Roman" w:hAnsi="Times New Roman"/>
          <w:sz w:val="26"/>
          <w:szCs w:val="26"/>
        </w:rPr>
        <w:t>а</w:t>
      </w:r>
      <w:r w:rsidRPr="000D3226">
        <w:rPr>
          <w:rFonts w:ascii="Times New Roman" w:hAnsi="Times New Roman"/>
          <w:sz w:val="26"/>
          <w:szCs w:val="26"/>
        </w:rPr>
        <w:t xml:space="preserve"> за годината в съответствие с променените макроикономически очаквания в актуализираната прогноза на Министерството на финансите</w:t>
      </w:r>
      <w:r w:rsidR="003F48BF">
        <w:rPr>
          <w:rFonts w:ascii="Times New Roman" w:hAnsi="Times New Roman"/>
          <w:sz w:val="26"/>
          <w:szCs w:val="26"/>
        </w:rPr>
        <w:t xml:space="preserve"> (МФ)</w:t>
      </w:r>
      <w:r w:rsidRPr="000D3226">
        <w:rPr>
          <w:rFonts w:ascii="Times New Roman" w:hAnsi="Times New Roman"/>
          <w:sz w:val="26"/>
          <w:szCs w:val="26"/>
        </w:rPr>
        <w:t xml:space="preserve"> и по-високи от очакваните постъпления по сметк</w:t>
      </w:r>
      <w:r w:rsidR="003F48BF">
        <w:rPr>
          <w:rFonts w:ascii="Times New Roman" w:hAnsi="Times New Roman"/>
          <w:sz w:val="26"/>
          <w:szCs w:val="26"/>
        </w:rPr>
        <w:t>ата</w:t>
      </w:r>
      <w:r w:rsidRPr="000D3226">
        <w:rPr>
          <w:rFonts w:ascii="Times New Roman" w:hAnsi="Times New Roman"/>
          <w:sz w:val="26"/>
          <w:szCs w:val="26"/>
        </w:rPr>
        <w:t xml:space="preserve"> за средства от ЕС на Националния фонд.</w:t>
      </w:r>
    </w:p>
    <w:p w:rsidR="00DA68DA" w:rsidRPr="00DA68DA" w:rsidRDefault="00DA68DA" w:rsidP="00DA68DA">
      <w:pPr>
        <w:spacing w:line="240" w:lineRule="auto"/>
        <w:ind w:firstLine="0"/>
        <w:rPr>
          <w:rFonts w:ascii="Times New Roman" w:hAnsi="Times New Roman"/>
          <w:sz w:val="26"/>
          <w:szCs w:val="26"/>
        </w:rPr>
      </w:pPr>
      <w:r w:rsidRPr="00DA68DA">
        <w:rPr>
          <w:rFonts w:ascii="Times New Roman" w:hAnsi="Times New Roman"/>
          <w:sz w:val="26"/>
          <w:szCs w:val="26"/>
        </w:rPr>
        <w:t>Макроикономическата прогноза, на база на която е разработен ЗИД на ЗДБРБ за 2022</w:t>
      </w:r>
      <w:r w:rsidRPr="00DA68DA">
        <w:rPr>
          <w:rFonts w:ascii="Times New Roman" w:hAnsi="Times New Roman"/>
          <w:sz w:val="26"/>
          <w:szCs w:val="26"/>
          <w:lang w:val="en-US"/>
        </w:rPr>
        <w:t> </w:t>
      </w:r>
      <w:r w:rsidRPr="00DA68DA">
        <w:rPr>
          <w:rFonts w:ascii="Times New Roman" w:hAnsi="Times New Roman"/>
          <w:sz w:val="26"/>
          <w:szCs w:val="26"/>
        </w:rPr>
        <w:t>г., е в съответствие с текущото развитие на националната икономика и променените външни допускания за международната среда</w:t>
      </w:r>
      <w:r w:rsidR="003F48BF">
        <w:rPr>
          <w:rFonts w:ascii="Times New Roman" w:hAnsi="Times New Roman"/>
          <w:sz w:val="26"/>
          <w:szCs w:val="26"/>
        </w:rPr>
        <w:t>, както и предложения пакет от антикризисни мерки</w:t>
      </w:r>
      <w:r w:rsidRPr="00DA68DA">
        <w:rPr>
          <w:rFonts w:ascii="Times New Roman" w:hAnsi="Times New Roman"/>
          <w:sz w:val="26"/>
          <w:szCs w:val="26"/>
        </w:rPr>
        <w:t>. Тя е основана на допускането, че високата несигурност ще се запази през цялата година, като се очакват нарушения в международната търговия, повлияни от ограничения износ на стоки от региона на конфликта, които допълнително ще влошат проблемите по веригите на доставки. В Европейския съюз ще се проявят преки ефекти, породени от по-нисък износ към Руската федерация и Украйна, и косвени, поради затруднения във вноса, които ще се отразят отрицателно на производствения процес в Съюза. В допълнение, пониженото доверие на бизнеса и увеличената несигурност сред инвеститорите ще се отрази в цените на активите, ще ограничи финансовите потоци и инвестиционната дейност. Очаква се икономическият растеж в ЕС и света да се забави съответно до 2,7</w:t>
      </w:r>
      <w:r w:rsidR="004D6A75">
        <w:rPr>
          <w:rFonts w:ascii="Times New Roman" w:hAnsi="Times New Roman"/>
          <w:sz w:val="26"/>
          <w:szCs w:val="26"/>
        </w:rPr>
        <w:t>%</w:t>
      </w:r>
      <w:r w:rsidRPr="00DA68DA">
        <w:rPr>
          <w:rFonts w:ascii="Times New Roman" w:hAnsi="Times New Roman"/>
          <w:sz w:val="26"/>
          <w:szCs w:val="26"/>
        </w:rPr>
        <w:t xml:space="preserve"> и 3,2% през 2022 г.</w:t>
      </w:r>
    </w:p>
    <w:p w:rsidR="00DA68DA" w:rsidRPr="00DA68DA" w:rsidRDefault="00DA68DA" w:rsidP="00DA68DA">
      <w:pPr>
        <w:spacing w:line="240" w:lineRule="auto"/>
        <w:ind w:firstLine="0"/>
        <w:rPr>
          <w:rFonts w:ascii="Times New Roman" w:hAnsi="Times New Roman"/>
          <w:sz w:val="26"/>
          <w:szCs w:val="26"/>
        </w:rPr>
      </w:pPr>
      <w:r w:rsidRPr="00DA68DA">
        <w:rPr>
          <w:rFonts w:ascii="Times New Roman" w:hAnsi="Times New Roman"/>
          <w:sz w:val="26"/>
          <w:szCs w:val="26"/>
        </w:rPr>
        <w:t>Прогнозата за курса BGN/USD се основава на наличието на фиксиран курс на лева към единната европейска валута и техническо допускане за разменния курс на еврото към щатския долар. Според така направеното техническо допускане с</w:t>
      </w:r>
      <w:r w:rsidR="00206847">
        <w:rPr>
          <w:rFonts w:ascii="Times New Roman" w:hAnsi="Times New Roman"/>
          <w:sz w:val="26"/>
          <w:szCs w:val="26"/>
        </w:rPr>
        <w:t xml:space="preserve"> данни към 18.05.2022 </w:t>
      </w:r>
      <w:r w:rsidRPr="00DA68DA">
        <w:rPr>
          <w:rFonts w:ascii="Times New Roman" w:hAnsi="Times New Roman"/>
          <w:sz w:val="26"/>
          <w:szCs w:val="26"/>
        </w:rPr>
        <w:t xml:space="preserve">г., през 2022 г. средногодишният валутен курс на еврото се очаква да се понижи номинално с 9,8% до 1,07 долара, при очаквана обезценка от 4,4% според прогнозата в ЗДБРБ за 2022 г.  </w:t>
      </w:r>
    </w:p>
    <w:p w:rsidR="00DA68DA" w:rsidRPr="00DA68DA" w:rsidRDefault="00AA1C1F" w:rsidP="00DA68DA">
      <w:pPr>
        <w:spacing w:line="240" w:lineRule="auto"/>
        <w:ind w:firstLine="0"/>
        <w:rPr>
          <w:rFonts w:ascii="Times New Roman" w:hAnsi="Times New Roman"/>
          <w:sz w:val="26"/>
          <w:szCs w:val="26"/>
        </w:rPr>
      </w:pPr>
      <w:r>
        <w:rPr>
          <w:rFonts w:ascii="Times New Roman" w:hAnsi="Times New Roman"/>
          <w:sz w:val="26"/>
          <w:szCs w:val="26"/>
        </w:rPr>
        <w:t>Според очакванията на Световната банка к</w:t>
      </w:r>
      <w:r w:rsidR="00DA68DA" w:rsidRPr="00DA68DA">
        <w:rPr>
          <w:rFonts w:ascii="Times New Roman" w:hAnsi="Times New Roman"/>
          <w:sz w:val="26"/>
          <w:szCs w:val="26"/>
        </w:rPr>
        <w:t xml:space="preserve">орекции във възходяща посока </w:t>
      </w:r>
      <w:r>
        <w:rPr>
          <w:rFonts w:ascii="Times New Roman" w:hAnsi="Times New Roman"/>
          <w:sz w:val="26"/>
          <w:szCs w:val="26"/>
        </w:rPr>
        <w:t xml:space="preserve">ще </w:t>
      </w:r>
      <w:r w:rsidR="00DA68DA" w:rsidRPr="00DA68DA">
        <w:rPr>
          <w:rFonts w:ascii="Times New Roman" w:hAnsi="Times New Roman"/>
          <w:sz w:val="26"/>
          <w:szCs w:val="26"/>
        </w:rPr>
        <w:t xml:space="preserve">има при всички основни суровини, най-вече заради промяната в конюнктурата на световните пазари и конфликта в Украйна. Средната цена на суровия петрол тип „Брент“ през 2022 г. се очаква да се повиши с 42% до 100 </w:t>
      </w:r>
      <w:proofErr w:type="spellStart"/>
      <w:r w:rsidR="00DA68DA" w:rsidRPr="00DA68DA">
        <w:rPr>
          <w:rFonts w:ascii="Times New Roman" w:hAnsi="Times New Roman"/>
          <w:sz w:val="26"/>
          <w:szCs w:val="26"/>
        </w:rPr>
        <w:t>щ.д</w:t>
      </w:r>
      <w:proofErr w:type="spellEnd"/>
      <w:r w:rsidR="00DA68DA" w:rsidRPr="00DA68DA">
        <w:rPr>
          <w:rFonts w:ascii="Times New Roman" w:hAnsi="Times New Roman"/>
          <w:sz w:val="26"/>
          <w:szCs w:val="26"/>
        </w:rPr>
        <w:t>. за барел, при допускане за цена от 78,9 долара през декември</w:t>
      </w:r>
      <w:r w:rsidR="003F48BF">
        <w:rPr>
          <w:rFonts w:ascii="Times New Roman" w:hAnsi="Times New Roman"/>
          <w:sz w:val="26"/>
          <w:szCs w:val="26"/>
        </w:rPr>
        <w:t xml:space="preserve"> 2021 г</w:t>
      </w:r>
      <w:r w:rsidR="00DA68DA" w:rsidRPr="00DA68DA">
        <w:rPr>
          <w:rFonts w:ascii="Times New Roman" w:hAnsi="Times New Roman"/>
          <w:sz w:val="26"/>
          <w:szCs w:val="26"/>
        </w:rPr>
        <w:t>. Неенергийните суровини ще поскъпнат средно с 19,2% в доларово изражение през 2022 г., като очакванията според прогнозата в ЗДБРБ 2022 г. бяха за ръст на цените им средно с 8%. Всички основни групи суровини ще отчетат поскъпване, но по-</w:t>
      </w:r>
      <w:r w:rsidR="00DA68DA" w:rsidRPr="00DA68DA">
        <w:rPr>
          <w:rFonts w:ascii="Times New Roman" w:hAnsi="Times New Roman"/>
          <w:sz w:val="26"/>
          <w:szCs w:val="26"/>
        </w:rPr>
        <w:lastRenderedPageBreak/>
        <w:t xml:space="preserve">съществено то се очаква да бъде при торове – 69,3%, метали – 15,8% и храни – 22,9%, като това са и групите с най-съществена възходяща корекция в очакванията. </w:t>
      </w:r>
    </w:p>
    <w:p w:rsidR="00DA68DA" w:rsidRPr="00DA68DA" w:rsidRDefault="00AA1C1F" w:rsidP="00DA68DA">
      <w:pPr>
        <w:spacing w:line="240" w:lineRule="auto"/>
        <w:ind w:firstLine="0"/>
        <w:rPr>
          <w:rFonts w:ascii="Times New Roman" w:hAnsi="Times New Roman"/>
          <w:sz w:val="26"/>
          <w:szCs w:val="26"/>
        </w:rPr>
      </w:pPr>
      <w:r>
        <w:rPr>
          <w:rFonts w:ascii="Times New Roman" w:hAnsi="Times New Roman"/>
          <w:sz w:val="26"/>
          <w:szCs w:val="26"/>
        </w:rPr>
        <w:t>Прогнозите са</w:t>
      </w:r>
      <w:r w:rsidR="00DA68DA" w:rsidRPr="00DA68DA">
        <w:rPr>
          <w:rFonts w:ascii="Times New Roman" w:hAnsi="Times New Roman"/>
          <w:sz w:val="26"/>
          <w:szCs w:val="26"/>
        </w:rPr>
        <w:t>, че в резултат от военните действия в Украйна в България ще останат над 100 хил. бежанци, чиито месечни разходи ще са съпоставими със средните разходи за страната.</w:t>
      </w:r>
    </w:p>
    <w:p w:rsidR="00DA68DA" w:rsidRPr="000D3226" w:rsidRDefault="00DA68DA" w:rsidP="00DA68DA">
      <w:pPr>
        <w:spacing w:line="240" w:lineRule="auto"/>
        <w:ind w:firstLine="0"/>
        <w:rPr>
          <w:rFonts w:ascii="Times New Roman" w:hAnsi="Times New Roman"/>
          <w:sz w:val="26"/>
          <w:szCs w:val="26"/>
        </w:rPr>
      </w:pPr>
      <w:r w:rsidRPr="00DA68DA">
        <w:rPr>
          <w:rFonts w:ascii="Times New Roman" w:hAnsi="Times New Roman"/>
          <w:sz w:val="26"/>
          <w:szCs w:val="26"/>
        </w:rPr>
        <w:t xml:space="preserve">Запазват се очакванията за подобряване на здравната ситуация в глобален план. Евентуални нови вълни от нарастване на заболеваемостта от COVID-19 </w:t>
      </w:r>
      <w:r w:rsidR="00AA1C1F">
        <w:rPr>
          <w:rFonts w:ascii="Times New Roman" w:hAnsi="Times New Roman"/>
          <w:sz w:val="26"/>
          <w:szCs w:val="26"/>
        </w:rPr>
        <w:t xml:space="preserve">се очаква да </w:t>
      </w:r>
      <w:r w:rsidRPr="00DA68DA">
        <w:rPr>
          <w:rFonts w:ascii="Times New Roman" w:hAnsi="Times New Roman"/>
          <w:sz w:val="26"/>
          <w:szCs w:val="26"/>
        </w:rPr>
        <w:t>пораждат само временни ограничителни мерки, без съществено отрицателно въздействие върху икономическата активност.</w:t>
      </w:r>
    </w:p>
    <w:p w:rsidR="00284CDB" w:rsidRPr="00AA1C1F" w:rsidRDefault="00AA1C1F" w:rsidP="00284CDB">
      <w:pPr>
        <w:spacing w:line="240" w:lineRule="auto"/>
        <w:ind w:firstLine="0"/>
        <w:rPr>
          <w:rFonts w:ascii="Times New Roman" w:hAnsi="Times New Roman"/>
          <w:sz w:val="26"/>
          <w:szCs w:val="26"/>
        </w:rPr>
      </w:pPr>
      <w:r w:rsidRPr="00AA1C1F">
        <w:rPr>
          <w:rFonts w:ascii="Times New Roman" w:hAnsi="Times New Roman"/>
          <w:sz w:val="26"/>
          <w:szCs w:val="26"/>
        </w:rPr>
        <w:t>Очаква се през 2022 г. реалният растеж на БВП на България да възлезе на 2,9%. Това представлява понижение спрямо прогнозата, с която бе приет ЗДБРБ за 2022 г. и е вследствие на променените икономически перспективи породени от избухването на конфликта в Украйна. В същото време очакванията за растежа са леко повишени спрямо пролетната прогноза поради отчетеното добро представяне на икономиката през първото тримесечие. Според експресните оценки на Националн</w:t>
      </w:r>
      <w:r w:rsidR="008E6A2B">
        <w:rPr>
          <w:rFonts w:ascii="Times New Roman" w:hAnsi="Times New Roman"/>
          <w:sz w:val="26"/>
          <w:szCs w:val="26"/>
        </w:rPr>
        <w:t>ия</w:t>
      </w:r>
      <w:r w:rsidRPr="00AA1C1F">
        <w:rPr>
          <w:rFonts w:ascii="Times New Roman" w:hAnsi="Times New Roman"/>
          <w:sz w:val="26"/>
          <w:szCs w:val="26"/>
        </w:rPr>
        <w:t xml:space="preserve"> статистически институт (НСИ) БВП е нараснал с 4,5% (сезонно изгладени данни) през първото тримесечие  на 2022 г. спрямо същия период на 2021 г. </w:t>
      </w:r>
      <w:r>
        <w:rPr>
          <w:rFonts w:ascii="Times New Roman" w:hAnsi="Times New Roman"/>
          <w:sz w:val="26"/>
          <w:szCs w:val="26"/>
        </w:rPr>
        <w:t>О</w:t>
      </w:r>
      <w:r w:rsidRPr="00AA1C1F">
        <w:rPr>
          <w:rFonts w:ascii="Times New Roman" w:hAnsi="Times New Roman"/>
          <w:sz w:val="26"/>
          <w:szCs w:val="26"/>
        </w:rPr>
        <w:t>чаква</w:t>
      </w:r>
      <w:r>
        <w:rPr>
          <w:rFonts w:ascii="Times New Roman" w:hAnsi="Times New Roman"/>
          <w:sz w:val="26"/>
          <w:szCs w:val="26"/>
        </w:rPr>
        <w:t xml:space="preserve"> се</w:t>
      </w:r>
      <w:r w:rsidRPr="00AA1C1F">
        <w:rPr>
          <w:rFonts w:ascii="Times New Roman" w:hAnsi="Times New Roman"/>
          <w:sz w:val="26"/>
          <w:szCs w:val="26"/>
        </w:rPr>
        <w:t xml:space="preserve"> растежът на потреблението на домакинствата да достигне 3,3%. Вследствие на инвазията и наложените санкции върху Руската федерация се очакват повишена несигурност, по-високи производствени разходи, нарушени доставки и по-слабо външно търсене. Това ще се отрази в отлагане на инвестиционни планове. В същото време се очаква публичните капиталови разходи да подкрепят нарастването на инвестициите в основен капитал, което се прогнозира да достигне 5,5%. От страна на публичното потребление също се прогнозира положителен принос за растежа на БВП. По-умереното търсене от основни търговски партньори на България, съчетано със силно ограничения износ към Руската федерация и Украйна ще се отрази в забавяне на общия темп на износа на стоки от България през 2022 г. (3,1%). Приносът на нетния износ към растежа на БВП ще е отрицателен.</w:t>
      </w:r>
    </w:p>
    <w:p w:rsidR="00284CDB" w:rsidRPr="00AA1C1F" w:rsidRDefault="00AA1C1F" w:rsidP="00AA1C1F">
      <w:pPr>
        <w:spacing w:line="240" w:lineRule="auto"/>
        <w:ind w:firstLine="0"/>
        <w:rPr>
          <w:rFonts w:ascii="Times New Roman" w:hAnsi="Times New Roman"/>
          <w:sz w:val="26"/>
          <w:szCs w:val="26"/>
        </w:rPr>
      </w:pPr>
      <w:r w:rsidRPr="00AA1C1F">
        <w:rPr>
          <w:rFonts w:ascii="Times New Roman" w:hAnsi="Times New Roman"/>
          <w:sz w:val="26"/>
          <w:szCs w:val="26"/>
        </w:rPr>
        <w:t>За 2022 г. се очаква броят на з</w:t>
      </w:r>
      <w:r>
        <w:rPr>
          <w:rFonts w:ascii="Times New Roman" w:hAnsi="Times New Roman"/>
          <w:sz w:val="26"/>
          <w:szCs w:val="26"/>
        </w:rPr>
        <w:t>аетите да отбележи ръст от 1,7%.</w:t>
      </w:r>
      <w:r w:rsidRPr="00AA1C1F">
        <w:rPr>
          <w:rFonts w:ascii="Times New Roman" w:hAnsi="Times New Roman"/>
          <w:sz w:val="26"/>
          <w:szCs w:val="26"/>
        </w:rPr>
        <w:t xml:space="preserve"> В сравнение с п</w:t>
      </w:r>
      <w:r>
        <w:rPr>
          <w:rFonts w:ascii="Times New Roman" w:hAnsi="Times New Roman"/>
          <w:sz w:val="26"/>
          <w:szCs w:val="26"/>
        </w:rPr>
        <w:t>ървоначалната</w:t>
      </w:r>
      <w:r w:rsidRPr="00AA1C1F">
        <w:rPr>
          <w:rFonts w:ascii="Times New Roman" w:hAnsi="Times New Roman"/>
          <w:sz w:val="26"/>
          <w:szCs w:val="26"/>
        </w:rPr>
        <w:t xml:space="preserve"> прогноза </w:t>
      </w:r>
      <w:r>
        <w:rPr>
          <w:rFonts w:ascii="Times New Roman" w:hAnsi="Times New Roman"/>
          <w:sz w:val="26"/>
          <w:szCs w:val="26"/>
        </w:rPr>
        <w:t>към</w:t>
      </w:r>
      <w:r w:rsidRPr="00AA1C1F">
        <w:rPr>
          <w:rFonts w:ascii="Times New Roman" w:hAnsi="Times New Roman"/>
          <w:sz w:val="26"/>
          <w:szCs w:val="26"/>
        </w:rPr>
        <w:t xml:space="preserve"> ЗДБРБ за 2022 г., растежът на заетостта е завишен с 0,7 пр.</w:t>
      </w:r>
      <w:r>
        <w:rPr>
          <w:rFonts w:ascii="Times New Roman" w:hAnsi="Times New Roman"/>
          <w:sz w:val="26"/>
          <w:szCs w:val="26"/>
        </w:rPr>
        <w:t xml:space="preserve"> </w:t>
      </w:r>
      <w:r w:rsidRPr="00AA1C1F">
        <w:rPr>
          <w:rFonts w:ascii="Times New Roman" w:hAnsi="Times New Roman"/>
          <w:sz w:val="26"/>
          <w:szCs w:val="26"/>
        </w:rPr>
        <w:t xml:space="preserve">п., </w:t>
      </w:r>
      <w:r w:rsidRPr="00433D02">
        <w:rPr>
          <w:rFonts w:ascii="Times New Roman" w:hAnsi="Times New Roman"/>
          <w:sz w:val="26"/>
          <w:szCs w:val="26"/>
        </w:rPr>
        <w:t xml:space="preserve">като основната причина за това е потокът бежанци, част от </w:t>
      </w:r>
      <w:r w:rsidR="003F48BF" w:rsidRPr="00433D02">
        <w:rPr>
          <w:rFonts w:ascii="Times New Roman" w:hAnsi="Times New Roman"/>
          <w:sz w:val="26"/>
          <w:szCs w:val="26"/>
        </w:rPr>
        <w:t>който</w:t>
      </w:r>
      <w:r w:rsidRPr="00433D02">
        <w:rPr>
          <w:rFonts w:ascii="Times New Roman" w:hAnsi="Times New Roman"/>
          <w:sz w:val="26"/>
          <w:szCs w:val="26"/>
        </w:rPr>
        <w:t xml:space="preserve"> се очаква да бъд</w:t>
      </w:r>
      <w:r w:rsidR="003F48BF" w:rsidRPr="00433D02">
        <w:rPr>
          <w:rFonts w:ascii="Times New Roman" w:hAnsi="Times New Roman"/>
          <w:sz w:val="26"/>
          <w:szCs w:val="26"/>
        </w:rPr>
        <w:t>е</w:t>
      </w:r>
      <w:r w:rsidRPr="00433D02">
        <w:rPr>
          <w:rFonts w:ascii="Times New Roman" w:hAnsi="Times New Roman"/>
          <w:sz w:val="26"/>
          <w:szCs w:val="26"/>
        </w:rPr>
        <w:t xml:space="preserve"> интегриран на българския пазар на труда</w:t>
      </w:r>
      <w:r w:rsidRPr="00AA1C1F">
        <w:rPr>
          <w:rFonts w:ascii="Times New Roman" w:hAnsi="Times New Roman"/>
          <w:sz w:val="26"/>
          <w:szCs w:val="26"/>
        </w:rPr>
        <w:t>. В съответствие с положителната динамика на заетостта, коефициентът на безработица се очаква да се понижи до 4,5% през 2022 г. и е по-нисък спрямо предходната прогноза (5%).</w:t>
      </w:r>
      <w:r w:rsidRPr="00AA1C1F">
        <w:t xml:space="preserve"> </w:t>
      </w:r>
      <w:r w:rsidRPr="00AA1C1F">
        <w:rPr>
          <w:rFonts w:ascii="Times New Roman" w:hAnsi="Times New Roman"/>
          <w:sz w:val="26"/>
          <w:szCs w:val="26"/>
        </w:rPr>
        <w:t>Корекцията надолу се дължи основно на данните от Наблюдението на работната сила (НРС) и данните на Агенцията по заетостта за регистрираните безработни, които показват, че бе</w:t>
      </w:r>
      <w:r w:rsidR="000129D7" w:rsidRPr="00AA1C1F">
        <w:rPr>
          <w:rFonts w:ascii="Times New Roman" w:hAnsi="Times New Roman"/>
          <w:sz w:val="26"/>
          <w:szCs w:val="26"/>
        </w:rPr>
        <w:t>зработицата се е върнала към предкризисните си равнища по-рано от очакваното.</w:t>
      </w:r>
      <w:r w:rsidR="000129D7">
        <w:rPr>
          <w:rFonts w:ascii="Times New Roman" w:hAnsi="Times New Roman"/>
          <w:sz w:val="26"/>
          <w:szCs w:val="26"/>
        </w:rPr>
        <w:t xml:space="preserve"> </w:t>
      </w:r>
      <w:r w:rsidRPr="00AA1C1F">
        <w:rPr>
          <w:rFonts w:ascii="Times New Roman" w:hAnsi="Times New Roman"/>
          <w:sz w:val="26"/>
          <w:szCs w:val="26"/>
        </w:rPr>
        <w:t>Номиналното нарастване на доходите от труд ще остане високо. През 2022 г. номиналният растеж на компенсацията на един нает е оценен на 9,2%. Показателят е ревизиран във възходяща посока (с около 1 пр.</w:t>
      </w:r>
      <w:r>
        <w:rPr>
          <w:rFonts w:ascii="Times New Roman" w:hAnsi="Times New Roman"/>
          <w:sz w:val="26"/>
          <w:szCs w:val="26"/>
        </w:rPr>
        <w:t xml:space="preserve"> </w:t>
      </w:r>
      <w:r w:rsidRPr="00AA1C1F">
        <w:rPr>
          <w:rFonts w:ascii="Times New Roman" w:hAnsi="Times New Roman"/>
          <w:sz w:val="26"/>
          <w:szCs w:val="26"/>
        </w:rPr>
        <w:t>п.) спрямо прогнозата, използвана за разработване на ЗДБРБ за 2022 г., като ревизията отразява наличната информация за доходите от труд през първото тримесечие на годината. Факторите, които ще окажат влияние</w:t>
      </w:r>
      <w:r w:rsidR="008E6A2B">
        <w:rPr>
          <w:rFonts w:ascii="Times New Roman" w:hAnsi="Times New Roman"/>
          <w:sz w:val="26"/>
          <w:szCs w:val="26"/>
        </w:rPr>
        <w:t>,</w:t>
      </w:r>
      <w:r w:rsidRPr="00AA1C1F">
        <w:rPr>
          <w:rFonts w:ascii="Times New Roman" w:hAnsi="Times New Roman"/>
          <w:sz w:val="26"/>
          <w:szCs w:val="26"/>
        </w:rPr>
        <w:t xml:space="preserve"> са свързани с очакваното търсене на труд, повишаването на минималната работна заплата и някои вторични ефекти от високите темпове на инфлация в страната. Ограничаващ ефект върху динамиката на доходите може да се очаква по линия на публичния сектор и включването на бежанците от Украйна на пазара на труда. Забавянето на икономическата активност през 2022 г. ще отразява по-ниския темп на нарастване на производителността на труда (1,2%). </w:t>
      </w:r>
    </w:p>
    <w:p w:rsidR="00284CDB" w:rsidRPr="000129D7" w:rsidRDefault="000129D7" w:rsidP="00F127FF">
      <w:pPr>
        <w:spacing w:line="240" w:lineRule="auto"/>
        <w:ind w:firstLine="0"/>
        <w:rPr>
          <w:rFonts w:ascii="Times New Roman" w:hAnsi="Times New Roman"/>
          <w:sz w:val="26"/>
          <w:szCs w:val="26"/>
        </w:rPr>
      </w:pPr>
      <w:r w:rsidRPr="000129D7">
        <w:rPr>
          <w:rFonts w:ascii="Times New Roman" w:hAnsi="Times New Roman"/>
          <w:sz w:val="26"/>
          <w:szCs w:val="26"/>
        </w:rPr>
        <w:lastRenderedPageBreak/>
        <w:t>В съответствие с промяната на външните допускания за валутния курс и международните цени на суровините, както и актуализацията на данните за Хармонизирания индекс на потребителските цени до април, очакванията за динамиката на потребителските цени в страната са за по-висока инфлация през 2022 г. Корекцията е основно по</w:t>
      </w:r>
      <w:r w:rsidR="003F48BF">
        <w:rPr>
          <w:rFonts w:ascii="Times New Roman" w:hAnsi="Times New Roman"/>
          <w:sz w:val="26"/>
          <w:szCs w:val="26"/>
        </w:rPr>
        <w:t>ради</w:t>
      </w:r>
      <w:r w:rsidRPr="000129D7">
        <w:rPr>
          <w:rFonts w:ascii="Times New Roman" w:hAnsi="Times New Roman"/>
          <w:sz w:val="26"/>
          <w:szCs w:val="26"/>
        </w:rPr>
        <w:t xml:space="preserve"> по-високо от очакваното поскъпване на храните и неенергийните нехранителни стоки по линия на по-силни ефекти от суровините и енергоносителите. Наблюдаваното повишение на цените на петрола и неенергийните суровини се очаква да се забавя през втората половина на годината. В съответствие с това, нарастването на общото равнище на потребителските цени ще продължи да се ускорява до средата на годината, след което също ще започне да се забавя, по месеци на годишна база, а инфлацията в края на 2022 г. ще достигне 11,6%. Водещ принос за това ще имат храните, чието поскъпване ще се ускори до 23,9% на годишна база през декември. Съществен принос ще имат и компонентите на базисната инфлация поради очакваните вторични ефекти от ускореното поскъпване на енергоносителите и затрудненията във веригите на доставки. Цените на услугите ще се повишат с 9,8% в края на 2022 г., а неенергийните нехранителни стоки – със 7,1%. Енергийните стоки също ще допринесат положително, като повишението в цените на транспортните горива се очаква да се забави до 13,9% в края на годината. Средногодишната инфлация през 2022 г. се прогнозира да бъде 11,9%.</w:t>
      </w:r>
    </w:p>
    <w:p w:rsidR="005303AB" w:rsidRPr="000D3226" w:rsidRDefault="005303AB" w:rsidP="005303AB">
      <w:pPr>
        <w:spacing w:line="240" w:lineRule="auto"/>
        <w:ind w:firstLine="0"/>
        <w:rPr>
          <w:rFonts w:ascii="Times New Roman" w:hAnsi="Times New Roman"/>
          <w:sz w:val="26"/>
          <w:szCs w:val="26"/>
        </w:rPr>
      </w:pPr>
      <w:r w:rsidRPr="000D3226">
        <w:rPr>
          <w:rFonts w:ascii="Times New Roman" w:hAnsi="Times New Roman"/>
          <w:sz w:val="26"/>
          <w:szCs w:val="26"/>
        </w:rPr>
        <w:t xml:space="preserve">Антикризисните мерки, за които е постигнат политически консенсус при проведените консултации между коалиционните партньори, предвиждат засилване на държавната подкрепа в две основни направления – мерки за подкрепа на бизнеса и пакет от социални мерки. Предвидени са различни по характер инструменти и механизми на подкрепа, в т.ч. увеличение на размера на данъчното облекчение за деца, въвеждане на нулева ставка на ДДС за </w:t>
      </w:r>
      <w:r w:rsidR="003A0C61">
        <w:rPr>
          <w:rFonts w:ascii="Times New Roman" w:hAnsi="Times New Roman"/>
          <w:sz w:val="26"/>
          <w:szCs w:val="26"/>
        </w:rPr>
        <w:t xml:space="preserve">доставка на </w:t>
      </w:r>
      <w:r w:rsidRPr="000D3226">
        <w:rPr>
          <w:rFonts w:ascii="Times New Roman" w:hAnsi="Times New Roman"/>
          <w:sz w:val="26"/>
          <w:szCs w:val="26"/>
        </w:rPr>
        <w:t>хляб за срок от една година, компенсация за физическите лица, крайни потребители на горива, освобождаване от акциз на електрическата енергия и природния газ, намаляване на ставката на ДДС за доставките на природен газ и на централно отопление, намаляване на размера на законната лихва при забава при физическите и юридическите лица и не на последно място подкрепа за най-уязвимата група в обществото за поскъпването на стоките от първа необходимост – групата на възрастните хора - със значително по-високо от планираното с първоначалните разчети на ЗДБРБ за 2022 г. увеличение на размера на пенсиите от 1 юли 2022 г., съответно увеличение на размера на минималната пенсия от 370 лева на 467 лева от тази дата, допълнителен механизъм за подобряване на адекватността на пенсиите от октомври и други. В съответствие с чл. 81 на Закона за публичните финанси</w:t>
      </w:r>
      <w:r w:rsidR="003F48BF">
        <w:rPr>
          <w:rFonts w:ascii="Times New Roman" w:hAnsi="Times New Roman"/>
          <w:sz w:val="26"/>
          <w:szCs w:val="26"/>
        </w:rPr>
        <w:t xml:space="preserve"> (ЗПФ)</w:t>
      </w:r>
      <w:r w:rsidRPr="000D3226">
        <w:rPr>
          <w:rFonts w:ascii="Times New Roman" w:hAnsi="Times New Roman"/>
          <w:sz w:val="26"/>
          <w:szCs w:val="26"/>
        </w:rPr>
        <w:t xml:space="preserve"> със законопроекта се предлагат съответните изменения и допълнения в други закони, тъй като предложените промени в данъчни</w:t>
      </w:r>
      <w:r w:rsidR="003F48BF">
        <w:rPr>
          <w:rFonts w:ascii="Times New Roman" w:hAnsi="Times New Roman"/>
          <w:sz w:val="26"/>
          <w:szCs w:val="26"/>
        </w:rPr>
        <w:t>те</w:t>
      </w:r>
      <w:r w:rsidRPr="000D3226">
        <w:rPr>
          <w:rFonts w:ascii="Times New Roman" w:hAnsi="Times New Roman"/>
          <w:sz w:val="26"/>
          <w:szCs w:val="26"/>
        </w:rPr>
        <w:t xml:space="preserve"> закони имат пряко отношение към </w:t>
      </w:r>
      <w:r w:rsidR="00206847">
        <w:rPr>
          <w:rFonts w:ascii="Times New Roman" w:hAnsi="Times New Roman"/>
          <w:sz w:val="26"/>
          <w:szCs w:val="26"/>
        </w:rPr>
        <w:t>съставянето на ЗДБРБ за 2022 </w:t>
      </w:r>
      <w:r w:rsidRPr="000D3226">
        <w:rPr>
          <w:rFonts w:ascii="Times New Roman" w:hAnsi="Times New Roman"/>
          <w:sz w:val="26"/>
          <w:szCs w:val="26"/>
        </w:rPr>
        <w:t>г. и разчетите към него.</w:t>
      </w:r>
    </w:p>
    <w:p w:rsidR="005303AB" w:rsidRDefault="005303AB" w:rsidP="005303AB">
      <w:pPr>
        <w:spacing w:line="240" w:lineRule="auto"/>
        <w:ind w:firstLine="0"/>
        <w:rPr>
          <w:rFonts w:ascii="Times New Roman" w:hAnsi="Times New Roman"/>
          <w:sz w:val="26"/>
          <w:szCs w:val="26"/>
        </w:rPr>
      </w:pPr>
      <w:r w:rsidRPr="000D3226">
        <w:rPr>
          <w:rFonts w:ascii="Times New Roman" w:hAnsi="Times New Roman"/>
          <w:sz w:val="26"/>
          <w:szCs w:val="26"/>
        </w:rPr>
        <w:t>Мерките се очаква да подкрепят икономиката при настоящата неблагоприятна конюнктура, както по линия на вътрешното търсене, така и по линия на предлагането, чрез запазване на конкурентната позиция, подобряване на предвидимостта и намаляване на шоковете по отношение на разходите за електроенергия и природен газ за предприятията.</w:t>
      </w:r>
    </w:p>
    <w:p w:rsidR="005303AB" w:rsidRDefault="005303AB" w:rsidP="005303AB">
      <w:pPr>
        <w:spacing w:line="240" w:lineRule="auto"/>
        <w:ind w:firstLine="0"/>
        <w:rPr>
          <w:rFonts w:ascii="Times New Roman" w:hAnsi="Times New Roman"/>
          <w:sz w:val="26"/>
          <w:szCs w:val="26"/>
        </w:rPr>
      </w:pPr>
      <w:r w:rsidRPr="005303AB">
        <w:rPr>
          <w:rFonts w:ascii="Times New Roman" w:hAnsi="Times New Roman"/>
          <w:sz w:val="26"/>
          <w:szCs w:val="26"/>
        </w:rPr>
        <w:t>Очакваните резултати от предложените мерки са както следва:</w:t>
      </w:r>
    </w:p>
    <w:p w:rsidR="00F5562D" w:rsidRDefault="00F5562D" w:rsidP="005303AB">
      <w:pPr>
        <w:spacing w:line="240" w:lineRule="auto"/>
        <w:ind w:firstLine="0"/>
        <w:rPr>
          <w:rFonts w:ascii="Times New Roman" w:hAnsi="Times New Roman"/>
          <w:sz w:val="26"/>
          <w:szCs w:val="26"/>
        </w:rPr>
      </w:pPr>
    </w:p>
    <w:p w:rsidR="00F5562D" w:rsidRPr="005303AB" w:rsidRDefault="00F5562D" w:rsidP="005303AB">
      <w:pPr>
        <w:spacing w:line="240" w:lineRule="auto"/>
        <w:ind w:firstLine="0"/>
        <w:rPr>
          <w:rFonts w:ascii="Times New Roman" w:hAnsi="Times New Roman"/>
          <w:sz w:val="26"/>
          <w:szCs w:val="26"/>
        </w:rPr>
      </w:pPr>
    </w:p>
    <w:p w:rsidR="005303AB" w:rsidRPr="00BA4188" w:rsidRDefault="005303AB" w:rsidP="005303AB">
      <w:pPr>
        <w:spacing w:line="240" w:lineRule="auto"/>
        <w:ind w:firstLine="0"/>
        <w:rPr>
          <w:rFonts w:ascii="Times New Roman" w:hAnsi="Times New Roman"/>
          <w:i/>
          <w:sz w:val="26"/>
          <w:szCs w:val="26"/>
          <w:u w:val="single"/>
        </w:rPr>
      </w:pPr>
      <w:r w:rsidRPr="00BA4188">
        <w:rPr>
          <w:rFonts w:ascii="Times New Roman" w:hAnsi="Times New Roman"/>
          <w:i/>
          <w:sz w:val="26"/>
          <w:szCs w:val="26"/>
          <w:u w:val="single"/>
        </w:rPr>
        <w:t>1. Основни мерки в данъчната политика</w:t>
      </w:r>
    </w:p>
    <w:p w:rsidR="005303AB" w:rsidRP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lastRenderedPageBreak/>
        <w:t>-</w:t>
      </w:r>
      <w:r w:rsidRPr="005303AB">
        <w:rPr>
          <w:rFonts w:ascii="Times New Roman" w:hAnsi="Times New Roman"/>
          <w:sz w:val="26"/>
          <w:szCs w:val="26"/>
        </w:rPr>
        <w:tab/>
        <w:t>освобождаване от акциз на електрическата енергия, втечнения нефтен газ и природния газ - мярката има за цел да подпомогне бизнеса и гражданите, потребители на електрическа енергия, втечнения нефтен газ и природен газ във връзка с неочаквания значителен скок на цените на енергийните продукти, породени от нарасналото търсене в европейски и световен мащаб</w:t>
      </w:r>
    </w:p>
    <w:p w:rsidR="005303AB" w:rsidRP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 xml:space="preserve">въвеждане на намалена ставка на ДДС в размер на 9% за доставки на централно отопление </w:t>
      </w:r>
      <w:r w:rsidR="008E6A2B">
        <w:rPr>
          <w:rFonts w:ascii="Times New Roman" w:hAnsi="Times New Roman"/>
          <w:sz w:val="26"/>
          <w:szCs w:val="26"/>
        </w:rPr>
        <w:t>–</w:t>
      </w:r>
      <w:r w:rsidRPr="005303AB">
        <w:rPr>
          <w:rFonts w:ascii="Times New Roman" w:hAnsi="Times New Roman"/>
          <w:sz w:val="26"/>
          <w:szCs w:val="26"/>
        </w:rPr>
        <w:t xml:space="preserve"> </w:t>
      </w:r>
      <w:r w:rsidR="008E6A2B">
        <w:rPr>
          <w:rFonts w:ascii="Times New Roman" w:hAnsi="Times New Roman"/>
          <w:sz w:val="26"/>
          <w:szCs w:val="26"/>
        </w:rPr>
        <w:t xml:space="preserve">предложението </w:t>
      </w:r>
      <w:r w:rsidRPr="005303AB">
        <w:rPr>
          <w:rFonts w:ascii="Times New Roman" w:hAnsi="Times New Roman"/>
          <w:sz w:val="26"/>
          <w:szCs w:val="26"/>
        </w:rPr>
        <w:t>е свързано с необходимостта от смекчаване на въздействието на високите цени на енергията върху домакинствата и предприятията, по-специално върху най-уязвимите, като същевременно се избягва прекъсването на доставките. Въвеждането на намалена ставка на ДДС ще намали риска от укриването на ДДС, както и ще способства за постигане на социални и икономически цели при настоящите високи нива на цените на природния газ и другите горива, използвани от топлофикационните дружества.</w:t>
      </w:r>
    </w:p>
    <w:p w:rsidR="005303AB" w:rsidRP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 xml:space="preserve">въвеждане на намалена ставка на ДДС в размер на 9% за доставки на природен газ - </w:t>
      </w:r>
      <w:r w:rsidR="008E6A2B">
        <w:rPr>
          <w:rFonts w:ascii="Times New Roman" w:hAnsi="Times New Roman"/>
          <w:sz w:val="26"/>
          <w:szCs w:val="26"/>
        </w:rPr>
        <w:t>предложението</w:t>
      </w:r>
      <w:r w:rsidRPr="005303AB">
        <w:rPr>
          <w:rFonts w:ascii="Times New Roman" w:hAnsi="Times New Roman"/>
          <w:sz w:val="26"/>
          <w:szCs w:val="26"/>
        </w:rPr>
        <w:t xml:space="preserve"> е свързано с необходимостта от смекчаване на въздействието на високите цени на енергията върху домакинствата и предприятията, като същевременно се избягва прекъсването на доставките.  </w:t>
      </w:r>
    </w:p>
    <w:p w:rsid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въвеждане на нулева ставка на ДДС за доставк</w:t>
      </w:r>
      <w:r w:rsidR="008E6A2B">
        <w:rPr>
          <w:rFonts w:ascii="Times New Roman" w:hAnsi="Times New Roman"/>
          <w:sz w:val="26"/>
          <w:szCs w:val="26"/>
        </w:rPr>
        <w:t>а</w:t>
      </w:r>
      <w:r w:rsidRPr="005303AB">
        <w:rPr>
          <w:rFonts w:ascii="Times New Roman" w:hAnsi="Times New Roman"/>
          <w:sz w:val="26"/>
          <w:szCs w:val="26"/>
        </w:rPr>
        <w:t xml:space="preserve"> на хляб от 01.07.2022 г.  </w:t>
      </w:r>
      <w:r w:rsidR="008E6A2B">
        <w:rPr>
          <w:rFonts w:ascii="Times New Roman" w:hAnsi="Times New Roman"/>
          <w:sz w:val="26"/>
          <w:szCs w:val="26"/>
        </w:rPr>
        <w:t xml:space="preserve">Мярката </w:t>
      </w:r>
      <w:r w:rsidRPr="005303AB">
        <w:rPr>
          <w:rFonts w:ascii="Times New Roman" w:hAnsi="Times New Roman"/>
          <w:sz w:val="26"/>
          <w:szCs w:val="26"/>
        </w:rPr>
        <w:t>е свързан</w:t>
      </w:r>
      <w:r w:rsidR="008E6A2B">
        <w:rPr>
          <w:rFonts w:ascii="Times New Roman" w:hAnsi="Times New Roman"/>
          <w:sz w:val="26"/>
          <w:szCs w:val="26"/>
        </w:rPr>
        <w:t>а</w:t>
      </w:r>
      <w:r w:rsidRPr="005303AB">
        <w:rPr>
          <w:rFonts w:ascii="Times New Roman" w:hAnsi="Times New Roman"/>
          <w:sz w:val="26"/>
          <w:szCs w:val="26"/>
        </w:rPr>
        <w:t xml:space="preserve"> с необходимостта от смекчаване на въздействието на високите цени на хляба върху домакинствата,  като същевременно се избягва прекъсването на доставките.</w:t>
      </w:r>
    </w:p>
    <w:p w:rsidR="008E6A2B" w:rsidRPr="005303AB" w:rsidRDefault="008E6A2B" w:rsidP="005303AB">
      <w:pPr>
        <w:spacing w:line="240" w:lineRule="auto"/>
        <w:ind w:firstLine="567"/>
        <w:rPr>
          <w:rFonts w:ascii="Times New Roman" w:hAnsi="Times New Roman"/>
          <w:sz w:val="26"/>
          <w:szCs w:val="26"/>
        </w:rPr>
      </w:pPr>
      <w:r>
        <w:rPr>
          <w:rFonts w:ascii="Times New Roman" w:hAnsi="Times New Roman"/>
          <w:sz w:val="26"/>
          <w:szCs w:val="26"/>
        </w:rPr>
        <w:t xml:space="preserve">-  </w:t>
      </w:r>
      <w:r w:rsidRPr="008E6A2B">
        <w:rPr>
          <w:rFonts w:ascii="Times New Roman" w:hAnsi="Times New Roman"/>
          <w:sz w:val="26"/>
          <w:szCs w:val="26"/>
        </w:rPr>
        <w:t>прилагане на стандартната ставка от 20 % за ДДС за консумацията на бира и вино от ресторантьорски и кетъринг услуги от 01.07.2022 г.</w:t>
      </w:r>
    </w:p>
    <w:p w:rsidR="005303AB" w:rsidRP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намаляване на размера на законната лихва от ОЛП+10 на сто на ОЛП+8 на сто - мярката има за цел актуализиране на размера на законната лихва по просрочени парични задължения като същия да бъде съобразен с новите икономически условия в страната. С предложената мярка се цели да бъдат подпомогнати и насърчени да заплатят съответните задължения лицата, които заплащат законна лихва по просрочени парични задължения.</w:t>
      </w:r>
    </w:p>
    <w:p w:rsid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увеличаване размера на данъчните облекчения за деца - с предложената мярка държавата ще осигури навременен финансов стимул в хода на годината, свързан с увеличаване на реалния разполагаем доход на семействата с непълнолетни деца, както и на семействата, отглеждащи деца с увреждания</w:t>
      </w:r>
      <w:r w:rsidR="008E6A2B">
        <w:rPr>
          <w:rFonts w:ascii="Times New Roman" w:hAnsi="Times New Roman"/>
          <w:sz w:val="26"/>
          <w:szCs w:val="26"/>
        </w:rPr>
        <w:t>.</w:t>
      </w:r>
    </w:p>
    <w:p w:rsidR="008E6A2B" w:rsidRPr="005303AB" w:rsidRDefault="008E6A2B" w:rsidP="005303AB">
      <w:pPr>
        <w:spacing w:line="240" w:lineRule="auto"/>
        <w:ind w:firstLine="567"/>
        <w:rPr>
          <w:rFonts w:ascii="Times New Roman" w:hAnsi="Times New Roman"/>
          <w:sz w:val="26"/>
          <w:szCs w:val="26"/>
        </w:rPr>
      </w:pPr>
      <w:r>
        <w:rPr>
          <w:rFonts w:ascii="Times New Roman" w:hAnsi="Times New Roman"/>
          <w:sz w:val="26"/>
          <w:szCs w:val="26"/>
        </w:rPr>
        <w:t xml:space="preserve">- </w:t>
      </w:r>
      <w:r w:rsidRPr="008E6A2B">
        <w:rPr>
          <w:rFonts w:ascii="Times New Roman" w:hAnsi="Times New Roman"/>
          <w:sz w:val="26"/>
          <w:szCs w:val="26"/>
        </w:rPr>
        <w:t>разширяване обхвата на РМС 592/2018 г. за условията и реда за  разплащанията на разпоредители с бюджетни средства по договори от 01.07.2022 г.</w:t>
      </w:r>
    </w:p>
    <w:p w:rsid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 xml:space="preserve">увеличаване на акциза на цигари, тютюн за пушене, пури и пурети, нагреваеми тютюневи изделия и </w:t>
      </w:r>
      <w:r w:rsidR="008E6A2B">
        <w:rPr>
          <w:rFonts w:ascii="Times New Roman" w:hAnsi="Times New Roman"/>
          <w:sz w:val="26"/>
          <w:szCs w:val="26"/>
        </w:rPr>
        <w:t xml:space="preserve">наргилета, както и въвеждане на акцизна ставка за течностите в </w:t>
      </w:r>
      <w:r w:rsidRPr="005303AB">
        <w:rPr>
          <w:rFonts w:ascii="Times New Roman" w:hAnsi="Times New Roman"/>
          <w:sz w:val="26"/>
          <w:szCs w:val="26"/>
        </w:rPr>
        <w:t>електронни</w:t>
      </w:r>
      <w:r w:rsidR="008E6A2B">
        <w:rPr>
          <w:rFonts w:ascii="Times New Roman" w:hAnsi="Times New Roman"/>
          <w:sz w:val="26"/>
          <w:szCs w:val="26"/>
        </w:rPr>
        <w:t>те</w:t>
      </w:r>
      <w:r w:rsidR="006663FF">
        <w:rPr>
          <w:rFonts w:ascii="Times New Roman" w:hAnsi="Times New Roman"/>
          <w:sz w:val="26"/>
          <w:szCs w:val="26"/>
        </w:rPr>
        <w:t xml:space="preserve"> цигари </w:t>
      </w:r>
      <w:r w:rsidRPr="005303AB">
        <w:rPr>
          <w:rFonts w:ascii="Times New Roman" w:hAnsi="Times New Roman"/>
          <w:sz w:val="26"/>
          <w:szCs w:val="26"/>
        </w:rPr>
        <w:t>- въвеждането на 4</w:t>
      </w:r>
      <w:r w:rsidR="008E6A2B">
        <w:rPr>
          <w:rFonts w:ascii="Times New Roman" w:hAnsi="Times New Roman"/>
          <w:sz w:val="26"/>
          <w:szCs w:val="26"/>
        </w:rPr>
        <w:t>-</w:t>
      </w:r>
      <w:r w:rsidRPr="005303AB">
        <w:rPr>
          <w:rFonts w:ascii="Times New Roman" w:hAnsi="Times New Roman"/>
          <w:sz w:val="26"/>
          <w:szCs w:val="26"/>
        </w:rPr>
        <w:t>годишен акцизен календар за увеличаване на акциза върху всички продуктови категории тютюневи изделия ще осигури прозрачност на процеса, предвидимост за бизнеса и стабилност за потребителите.</w:t>
      </w:r>
    </w:p>
    <w:p w:rsidR="005303AB" w:rsidRPr="00BA4188" w:rsidRDefault="005303AB" w:rsidP="005303AB">
      <w:pPr>
        <w:spacing w:line="240" w:lineRule="auto"/>
        <w:ind w:firstLine="0"/>
        <w:rPr>
          <w:rFonts w:ascii="Times New Roman" w:hAnsi="Times New Roman"/>
          <w:i/>
          <w:sz w:val="26"/>
          <w:szCs w:val="26"/>
        </w:rPr>
      </w:pPr>
      <w:r w:rsidRPr="00BA4188">
        <w:rPr>
          <w:rFonts w:ascii="Times New Roman" w:hAnsi="Times New Roman"/>
          <w:i/>
          <w:sz w:val="26"/>
          <w:szCs w:val="26"/>
        </w:rPr>
        <w:t xml:space="preserve">2. </w:t>
      </w:r>
      <w:r w:rsidRPr="00BA4188">
        <w:rPr>
          <w:rFonts w:ascii="Times New Roman" w:hAnsi="Times New Roman"/>
          <w:i/>
          <w:sz w:val="26"/>
          <w:szCs w:val="26"/>
          <w:u w:val="single"/>
        </w:rPr>
        <w:t>Основни мерки в разходите, бюджетните взаимоотношения (трансфери) по държавния бюджет и промяна в планирания размер на вноската на Република България в общия бюджет на ЕС за 2022 г.</w:t>
      </w:r>
    </w:p>
    <w:p w:rsidR="005303AB" w:rsidRP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осъвременяване на пенсиите от юли 2022 г. и прилагане на нов механизъм за подобряване на адекватността на пенсиите от октомври 2022 г</w:t>
      </w:r>
      <w:r w:rsidR="008E6A2B">
        <w:rPr>
          <w:rFonts w:ascii="Times New Roman" w:hAnsi="Times New Roman"/>
          <w:sz w:val="26"/>
          <w:szCs w:val="26"/>
        </w:rPr>
        <w:t>.</w:t>
      </w:r>
      <w:r w:rsidRPr="005303AB">
        <w:rPr>
          <w:rFonts w:ascii="Times New Roman" w:hAnsi="Times New Roman"/>
          <w:sz w:val="26"/>
          <w:szCs w:val="26"/>
        </w:rPr>
        <w:t xml:space="preserve"> - предложен </w:t>
      </w:r>
      <w:r w:rsidR="008E6A2B">
        <w:rPr>
          <w:rFonts w:ascii="Times New Roman" w:hAnsi="Times New Roman"/>
          <w:sz w:val="26"/>
          <w:szCs w:val="26"/>
        </w:rPr>
        <w:t xml:space="preserve">е </w:t>
      </w:r>
      <w:r w:rsidRPr="005303AB">
        <w:rPr>
          <w:rFonts w:ascii="Times New Roman" w:hAnsi="Times New Roman"/>
          <w:sz w:val="26"/>
          <w:szCs w:val="26"/>
        </w:rPr>
        <w:t>цялостен пакет от мерки, насочени към подобряване адекватността на пенсиите, изплащани от ДОО и от Учителския пенсионен фонд</w:t>
      </w:r>
      <w:r w:rsidR="008E6A2B">
        <w:rPr>
          <w:rFonts w:ascii="Times New Roman" w:hAnsi="Times New Roman"/>
          <w:sz w:val="26"/>
          <w:szCs w:val="26"/>
        </w:rPr>
        <w:t xml:space="preserve"> </w:t>
      </w:r>
      <w:r w:rsidR="008E6A2B" w:rsidRPr="008E6A2B">
        <w:rPr>
          <w:rFonts w:ascii="Times New Roman" w:hAnsi="Times New Roman"/>
          <w:sz w:val="26"/>
          <w:szCs w:val="26"/>
        </w:rPr>
        <w:t>(</w:t>
      </w:r>
      <w:r w:rsidR="008E6A2B">
        <w:rPr>
          <w:rFonts w:ascii="Times New Roman" w:hAnsi="Times New Roman"/>
          <w:sz w:val="26"/>
          <w:szCs w:val="26"/>
        </w:rPr>
        <w:t>УПФ</w:t>
      </w:r>
      <w:r w:rsidR="008E6A2B" w:rsidRPr="008E6A2B">
        <w:rPr>
          <w:rFonts w:ascii="Times New Roman" w:hAnsi="Times New Roman"/>
          <w:sz w:val="26"/>
          <w:szCs w:val="26"/>
        </w:rPr>
        <w:t>)</w:t>
      </w:r>
      <w:r w:rsidRPr="005303AB">
        <w:rPr>
          <w:rFonts w:ascii="Times New Roman" w:hAnsi="Times New Roman"/>
          <w:sz w:val="26"/>
          <w:szCs w:val="26"/>
        </w:rPr>
        <w:t xml:space="preserve">. Като първа стъпка за реализиране на заложените </w:t>
      </w:r>
      <w:r w:rsidRPr="005303AB">
        <w:rPr>
          <w:rFonts w:ascii="Times New Roman" w:hAnsi="Times New Roman"/>
          <w:sz w:val="26"/>
          <w:szCs w:val="26"/>
        </w:rPr>
        <w:lastRenderedPageBreak/>
        <w:t xml:space="preserve">цели ще се гарантира, че от началото на месец юли 2022 г. изплащаните към 30 юни „COVID-19 добавки“ от 60 </w:t>
      </w:r>
      <w:r w:rsidR="004C2349" w:rsidRPr="005303AB">
        <w:rPr>
          <w:rFonts w:ascii="Times New Roman" w:hAnsi="Times New Roman"/>
          <w:sz w:val="26"/>
          <w:szCs w:val="26"/>
        </w:rPr>
        <w:t>лева</w:t>
      </w:r>
      <w:r w:rsidRPr="005303AB">
        <w:rPr>
          <w:rFonts w:ascii="Times New Roman" w:hAnsi="Times New Roman"/>
          <w:sz w:val="26"/>
          <w:szCs w:val="26"/>
        </w:rPr>
        <w:t xml:space="preserve"> и индивидуални компенсаторни суми за разликата между плащанията (пенсии, добавки и допълнителни плащания) от държавното обществено осигуряване преди и след преизчисляването с по-голяма тежест на година стаж от 25 декември 2021 г., ще бъдат включени в размера на пенсиите за трудова дейност, като заедно с това се приложи и по-висок от първоначално заложени</w:t>
      </w:r>
      <w:r w:rsidR="008E6A2B">
        <w:rPr>
          <w:rFonts w:ascii="Times New Roman" w:hAnsi="Times New Roman"/>
          <w:sz w:val="26"/>
          <w:szCs w:val="26"/>
        </w:rPr>
        <w:t>те</w:t>
      </w:r>
      <w:r w:rsidRPr="005303AB">
        <w:rPr>
          <w:rFonts w:ascii="Times New Roman" w:hAnsi="Times New Roman"/>
          <w:sz w:val="26"/>
          <w:szCs w:val="26"/>
        </w:rPr>
        <w:t xml:space="preserve"> </w:t>
      </w:r>
      <w:r w:rsidR="008E6A2B">
        <w:rPr>
          <w:rFonts w:ascii="Times New Roman" w:hAnsi="Times New Roman"/>
          <w:sz w:val="26"/>
          <w:szCs w:val="26"/>
        </w:rPr>
        <w:t>проценти</w:t>
      </w:r>
      <w:r w:rsidRPr="005303AB">
        <w:rPr>
          <w:rFonts w:ascii="Times New Roman" w:hAnsi="Times New Roman"/>
          <w:sz w:val="26"/>
          <w:szCs w:val="26"/>
        </w:rPr>
        <w:t xml:space="preserve"> за осъвременяване на пенсиите. Всички пенсии за трудова дейност, отпуснати до 31 декември 2021 г., се осъвременяват считано от 1 юли 2022 г. с 10 на сто. Изплащаните към 30 юни допълнителни суми (т.нар. „COVID-19 добавки“) и индивидуални компенсаторни суми, се включват в размер</w:t>
      </w:r>
      <w:r w:rsidR="00E61CBD">
        <w:rPr>
          <w:rFonts w:ascii="Times New Roman" w:hAnsi="Times New Roman"/>
          <w:sz w:val="26"/>
          <w:szCs w:val="26"/>
        </w:rPr>
        <w:t>а</w:t>
      </w:r>
      <w:r w:rsidRPr="005303AB">
        <w:rPr>
          <w:rFonts w:ascii="Times New Roman" w:hAnsi="Times New Roman"/>
          <w:sz w:val="26"/>
          <w:szCs w:val="26"/>
        </w:rPr>
        <w:t xml:space="preserve"> на получаваната лична пенсия за трудова дейност след прилагане на осъвременяването с 10 на сто. Така наречената „COVID-19 добавка“ се включва и в размера на пенсиите или сбора от пенсиите и на пенсионерите, упражнили право на пенс</w:t>
      </w:r>
      <w:r w:rsidR="00206847">
        <w:rPr>
          <w:rFonts w:ascii="Times New Roman" w:hAnsi="Times New Roman"/>
          <w:sz w:val="26"/>
          <w:szCs w:val="26"/>
        </w:rPr>
        <w:t>ия между 1 януари и 30 юни 2022 </w:t>
      </w:r>
      <w:r w:rsidRPr="005303AB">
        <w:rPr>
          <w:rFonts w:ascii="Times New Roman" w:hAnsi="Times New Roman"/>
          <w:sz w:val="26"/>
          <w:szCs w:val="26"/>
        </w:rPr>
        <w:t>г., а за тези от тях, които са упражнили право на пенсия след 30 юни 2022 г., също се предвижда включване на 60 лева в размера на пенсията или сбора на получаваните от тях пенсии. Минималният размер на пенсията за осигурителен стаж и възраст се увеличава от 370 лв. на 467 лв., а максималния</w:t>
      </w:r>
      <w:r w:rsidR="00E61CBD">
        <w:rPr>
          <w:rFonts w:ascii="Times New Roman" w:hAnsi="Times New Roman"/>
          <w:sz w:val="26"/>
          <w:szCs w:val="26"/>
        </w:rPr>
        <w:t>т</w:t>
      </w:r>
      <w:r w:rsidRPr="005303AB">
        <w:rPr>
          <w:rFonts w:ascii="Times New Roman" w:hAnsi="Times New Roman"/>
          <w:sz w:val="26"/>
          <w:szCs w:val="26"/>
        </w:rPr>
        <w:t xml:space="preserve"> размер на получаваните една или повече пенсии се увеличава от 1</w:t>
      </w:r>
      <w:r w:rsidR="00E61CBD">
        <w:rPr>
          <w:rFonts w:ascii="Times New Roman" w:hAnsi="Times New Roman"/>
          <w:sz w:val="26"/>
          <w:szCs w:val="26"/>
        </w:rPr>
        <w:t xml:space="preserve"> </w:t>
      </w:r>
      <w:r w:rsidRPr="005303AB">
        <w:rPr>
          <w:rFonts w:ascii="Times New Roman" w:hAnsi="Times New Roman"/>
          <w:sz w:val="26"/>
          <w:szCs w:val="26"/>
        </w:rPr>
        <w:t>500 лв. на 2</w:t>
      </w:r>
      <w:r w:rsidR="00E61CBD">
        <w:rPr>
          <w:rFonts w:ascii="Times New Roman" w:hAnsi="Times New Roman"/>
          <w:sz w:val="26"/>
          <w:szCs w:val="26"/>
        </w:rPr>
        <w:t xml:space="preserve"> </w:t>
      </w:r>
      <w:r w:rsidRPr="005303AB">
        <w:rPr>
          <w:rFonts w:ascii="Times New Roman" w:hAnsi="Times New Roman"/>
          <w:sz w:val="26"/>
          <w:szCs w:val="26"/>
        </w:rPr>
        <w:t>000 лв. от юли</w:t>
      </w:r>
      <w:r w:rsidR="00E61CBD">
        <w:rPr>
          <w:rFonts w:ascii="Times New Roman" w:hAnsi="Times New Roman"/>
          <w:sz w:val="26"/>
          <w:szCs w:val="26"/>
        </w:rPr>
        <w:t xml:space="preserve"> 2022 г.</w:t>
      </w:r>
      <w:r w:rsidRPr="005303AB">
        <w:rPr>
          <w:rFonts w:ascii="Times New Roman" w:hAnsi="Times New Roman"/>
          <w:sz w:val="26"/>
          <w:szCs w:val="26"/>
        </w:rPr>
        <w:t>, а от началото на октомври</w:t>
      </w:r>
      <w:r w:rsidR="00E61CBD">
        <w:rPr>
          <w:rFonts w:ascii="Times New Roman" w:hAnsi="Times New Roman"/>
          <w:sz w:val="26"/>
          <w:szCs w:val="26"/>
        </w:rPr>
        <w:t xml:space="preserve"> 2022 г.</w:t>
      </w:r>
      <w:r w:rsidRPr="005303AB">
        <w:rPr>
          <w:rFonts w:ascii="Times New Roman" w:hAnsi="Times New Roman"/>
          <w:sz w:val="26"/>
          <w:szCs w:val="26"/>
        </w:rPr>
        <w:t xml:space="preserve"> допълнително на 3</w:t>
      </w:r>
      <w:r w:rsidR="00E61CBD">
        <w:rPr>
          <w:rFonts w:ascii="Times New Roman" w:hAnsi="Times New Roman"/>
          <w:sz w:val="26"/>
          <w:szCs w:val="26"/>
        </w:rPr>
        <w:t xml:space="preserve"> </w:t>
      </w:r>
      <w:r w:rsidRPr="005303AB">
        <w:rPr>
          <w:rFonts w:ascii="Times New Roman" w:hAnsi="Times New Roman"/>
          <w:sz w:val="26"/>
          <w:szCs w:val="26"/>
        </w:rPr>
        <w:t>400 лева. Размерът на социалната пенсия за старост и обвързаните с нея размери на пенсиите, несвързани с трудова дейност, както и добавки, се увеличава от 170 лв. на 2</w:t>
      </w:r>
      <w:r w:rsidR="00E61CBD">
        <w:rPr>
          <w:rFonts w:ascii="Times New Roman" w:hAnsi="Times New Roman"/>
          <w:sz w:val="26"/>
          <w:szCs w:val="26"/>
        </w:rPr>
        <w:t>47</w:t>
      </w:r>
      <w:r w:rsidRPr="005303AB">
        <w:rPr>
          <w:rFonts w:ascii="Times New Roman" w:hAnsi="Times New Roman"/>
          <w:sz w:val="26"/>
          <w:szCs w:val="26"/>
        </w:rPr>
        <w:t xml:space="preserve"> лв. (</w:t>
      </w:r>
      <w:r w:rsidR="00E61CBD">
        <w:rPr>
          <w:rFonts w:ascii="Times New Roman" w:hAnsi="Times New Roman"/>
          <w:sz w:val="26"/>
          <w:szCs w:val="26"/>
        </w:rPr>
        <w:t>4</w:t>
      </w:r>
      <w:r w:rsidRPr="005303AB">
        <w:rPr>
          <w:rFonts w:ascii="Times New Roman" w:hAnsi="Times New Roman"/>
          <w:sz w:val="26"/>
          <w:szCs w:val="26"/>
        </w:rPr>
        <w:t>5</w:t>
      </w:r>
      <w:r w:rsidR="00E61CBD">
        <w:rPr>
          <w:rFonts w:ascii="Times New Roman" w:hAnsi="Times New Roman"/>
          <w:sz w:val="26"/>
          <w:szCs w:val="26"/>
        </w:rPr>
        <w:t>,3</w:t>
      </w:r>
      <w:r w:rsidRPr="005303AB">
        <w:rPr>
          <w:rFonts w:ascii="Times New Roman" w:hAnsi="Times New Roman"/>
          <w:sz w:val="26"/>
          <w:szCs w:val="26"/>
        </w:rPr>
        <w:t xml:space="preserve"> на сто). </w:t>
      </w:r>
    </w:p>
    <w:p w:rsidR="005303AB" w:rsidRPr="005303AB" w:rsidRDefault="005303AB" w:rsidP="005303AB">
      <w:pPr>
        <w:spacing w:line="240" w:lineRule="auto"/>
        <w:ind w:firstLine="0"/>
        <w:rPr>
          <w:rFonts w:ascii="Times New Roman" w:hAnsi="Times New Roman"/>
          <w:sz w:val="26"/>
          <w:szCs w:val="26"/>
        </w:rPr>
      </w:pPr>
      <w:r w:rsidRPr="005303AB">
        <w:rPr>
          <w:rFonts w:ascii="Times New Roman" w:hAnsi="Times New Roman"/>
          <w:sz w:val="26"/>
          <w:szCs w:val="26"/>
        </w:rPr>
        <w:t>Втората стъпка, заложена в ЗИД на ЗБДОО, за подобряване на адекватността на пенсиите, е предвидена да се приложи от началото на месец октомври 2022 г. Тя се отнася към всички пенсии за трудова дейност и има за цел да преодолее изоставането на пенсиите, отпуснати по-назад във времето, от пенсиите, отпуснати в по-близък до днешния момент. Изоставането е резултат от обстоятелството, че прилаганите правила за осъвременяване на пенсиите след последното преизчисляване на пенсиите с по-актуален осигурителен доход през октомври 2008 г. са довели до това пенсиите да нарастват на годишна база значително по-бавно от темпа на нарастване на средния осигурителен доход за страната, което води до относително обедняване на пенсионерите спрямо останалите групи от обществото.</w:t>
      </w:r>
    </w:p>
    <w:p w:rsidR="005303AB" w:rsidRPr="005303AB" w:rsidRDefault="005303AB" w:rsidP="005303AB">
      <w:pPr>
        <w:spacing w:line="240" w:lineRule="auto"/>
        <w:ind w:firstLine="0"/>
        <w:rPr>
          <w:rFonts w:ascii="Times New Roman" w:hAnsi="Times New Roman"/>
          <w:sz w:val="26"/>
          <w:szCs w:val="26"/>
        </w:rPr>
      </w:pPr>
      <w:r w:rsidRPr="005303AB">
        <w:rPr>
          <w:rFonts w:ascii="Times New Roman" w:hAnsi="Times New Roman"/>
          <w:sz w:val="26"/>
          <w:szCs w:val="26"/>
        </w:rPr>
        <w:t>Очаква се средната пенсия</w:t>
      </w:r>
      <w:r w:rsidR="00E61CBD">
        <w:rPr>
          <w:rFonts w:ascii="Times New Roman" w:hAnsi="Times New Roman"/>
          <w:sz w:val="26"/>
          <w:szCs w:val="26"/>
        </w:rPr>
        <w:t xml:space="preserve"> на един пенсионер</w:t>
      </w:r>
      <w:r w:rsidRPr="005303AB">
        <w:rPr>
          <w:rFonts w:ascii="Times New Roman" w:hAnsi="Times New Roman"/>
          <w:sz w:val="26"/>
          <w:szCs w:val="26"/>
        </w:rPr>
        <w:t xml:space="preserve"> през юли 2022 г. (вкл. УПФ) да достигне 666 лв., което е ръст от 23,2% спрямо юни 2022 г. (без допълнителните суми) или с 9,4% с включване на допълнителните суми. Мерките, предвидени да влязат в сила от началото на октомври 2022 г.</w:t>
      </w:r>
      <w:r w:rsidR="00E61CBD">
        <w:rPr>
          <w:rFonts w:ascii="Times New Roman" w:hAnsi="Times New Roman"/>
          <w:sz w:val="26"/>
          <w:szCs w:val="26"/>
        </w:rPr>
        <w:t>,</w:t>
      </w:r>
      <w:r w:rsidRPr="005303AB">
        <w:rPr>
          <w:rFonts w:ascii="Times New Roman" w:hAnsi="Times New Roman"/>
          <w:sz w:val="26"/>
          <w:szCs w:val="26"/>
        </w:rPr>
        <w:t xml:space="preserve"> се очаква да се отр</w:t>
      </w:r>
      <w:r w:rsidR="004D6A75">
        <w:rPr>
          <w:rFonts w:ascii="Times New Roman" w:hAnsi="Times New Roman"/>
          <w:sz w:val="26"/>
          <w:szCs w:val="26"/>
        </w:rPr>
        <w:t>азят благоприятно на 717,7 хил. пенсии</w:t>
      </w:r>
      <w:r w:rsidRPr="005303AB">
        <w:rPr>
          <w:rFonts w:ascii="Times New Roman" w:hAnsi="Times New Roman"/>
          <w:sz w:val="26"/>
          <w:szCs w:val="26"/>
        </w:rPr>
        <w:t xml:space="preserve">, като средният размер на пенсията </w:t>
      </w:r>
      <w:r w:rsidR="00E61CBD">
        <w:rPr>
          <w:rFonts w:ascii="Times New Roman" w:hAnsi="Times New Roman"/>
          <w:sz w:val="26"/>
          <w:szCs w:val="26"/>
        </w:rPr>
        <w:t xml:space="preserve">на един пенсионер </w:t>
      </w:r>
      <w:r w:rsidRPr="005303AB">
        <w:rPr>
          <w:rFonts w:ascii="Times New Roman" w:hAnsi="Times New Roman"/>
          <w:sz w:val="26"/>
          <w:szCs w:val="26"/>
        </w:rPr>
        <w:t xml:space="preserve">през октомври </w:t>
      </w:r>
      <w:r w:rsidR="00E61CBD">
        <w:rPr>
          <w:rFonts w:ascii="Times New Roman" w:hAnsi="Times New Roman"/>
          <w:sz w:val="26"/>
          <w:szCs w:val="26"/>
        </w:rPr>
        <w:t xml:space="preserve">2022 г. </w:t>
      </w:r>
      <w:r w:rsidR="00E61CBD" w:rsidRPr="005303AB">
        <w:rPr>
          <w:rFonts w:ascii="Times New Roman" w:hAnsi="Times New Roman"/>
          <w:sz w:val="26"/>
          <w:szCs w:val="26"/>
        </w:rPr>
        <w:t xml:space="preserve">(вкл. УПФ) </w:t>
      </w:r>
      <w:r w:rsidRPr="005303AB">
        <w:rPr>
          <w:rFonts w:ascii="Times New Roman" w:hAnsi="Times New Roman"/>
          <w:sz w:val="26"/>
          <w:szCs w:val="26"/>
        </w:rPr>
        <w:t>да достигне 718 лв. (ръст от 7,8% спрямо юли 2022 г.). Броят на пенсиите за трудова дейност, чиито размери са определени на минималния размер, ще намалее от</w:t>
      </w:r>
      <w:r w:rsidR="00E61CBD">
        <w:rPr>
          <w:rFonts w:ascii="Times New Roman" w:hAnsi="Times New Roman"/>
          <w:sz w:val="26"/>
          <w:szCs w:val="26"/>
        </w:rPr>
        <w:t xml:space="preserve"> около</w:t>
      </w:r>
      <w:r w:rsidRPr="005303AB">
        <w:rPr>
          <w:rFonts w:ascii="Times New Roman" w:hAnsi="Times New Roman"/>
          <w:sz w:val="26"/>
          <w:szCs w:val="26"/>
        </w:rPr>
        <w:t xml:space="preserve"> 1</w:t>
      </w:r>
      <w:r w:rsidR="00E61CBD">
        <w:rPr>
          <w:rFonts w:ascii="Times New Roman" w:hAnsi="Times New Roman"/>
          <w:sz w:val="26"/>
          <w:szCs w:val="26"/>
        </w:rPr>
        <w:t>,0</w:t>
      </w:r>
      <w:r w:rsidRPr="005303AB">
        <w:rPr>
          <w:rFonts w:ascii="Times New Roman" w:hAnsi="Times New Roman"/>
          <w:sz w:val="26"/>
          <w:szCs w:val="26"/>
        </w:rPr>
        <w:t xml:space="preserve"> </w:t>
      </w:r>
      <w:r w:rsidR="00E61CBD">
        <w:rPr>
          <w:rFonts w:ascii="Times New Roman" w:hAnsi="Times New Roman"/>
          <w:sz w:val="26"/>
          <w:szCs w:val="26"/>
        </w:rPr>
        <w:t>м</w:t>
      </w:r>
      <w:r w:rsidRPr="005303AB">
        <w:rPr>
          <w:rFonts w:ascii="Times New Roman" w:hAnsi="Times New Roman"/>
          <w:sz w:val="26"/>
          <w:szCs w:val="26"/>
        </w:rPr>
        <w:t>л</w:t>
      </w:r>
      <w:r w:rsidR="00E61CBD">
        <w:rPr>
          <w:rFonts w:ascii="Times New Roman" w:hAnsi="Times New Roman"/>
          <w:sz w:val="26"/>
          <w:szCs w:val="26"/>
        </w:rPr>
        <w:t>н</w:t>
      </w:r>
      <w:r w:rsidRPr="005303AB">
        <w:rPr>
          <w:rFonts w:ascii="Times New Roman" w:hAnsi="Times New Roman"/>
          <w:sz w:val="26"/>
          <w:szCs w:val="26"/>
        </w:rPr>
        <w:t xml:space="preserve">. пенсии </w:t>
      </w:r>
      <w:r w:rsidR="00E61CBD">
        <w:rPr>
          <w:rFonts w:ascii="Times New Roman" w:hAnsi="Times New Roman"/>
          <w:sz w:val="26"/>
          <w:szCs w:val="26"/>
        </w:rPr>
        <w:t xml:space="preserve">в момента </w:t>
      </w:r>
      <w:r w:rsidRPr="005303AB">
        <w:rPr>
          <w:rFonts w:ascii="Times New Roman" w:hAnsi="Times New Roman"/>
          <w:sz w:val="26"/>
          <w:szCs w:val="26"/>
        </w:rPr>
        <w:t>до 805,5 хил. пенсии през октомври 2022 г.</w:t>
      </w:r>
      <w:r w:rsidR="0059291B">
        <w:rPr>
          <w:rFonts w:ascii="Times New Roman" w:hAnsi="Times New Roman"/>
          <w:sz w:val="26"/>
          <w:szCs w:val="26"/>
        </w:rPr>
        <w:t>, а</w:t>
      </w:r>
      <w:r w:rsidRPr="005303AB">
        <w:rPr>
          <w:rFonts w:ascii="Times New Roman" w:hAnsi="Times New Roman"/>
          <w:sz w:val="26"/>
          <w:szCs w:val="26"/>
        </w:rPr>
        <w:t xml:space="preserve"> </w:t>
      </w:r>
      <w:r w:rsidR="0059291B">
        <w:rPr>
          <w:rFonts w:ascii="Times New Roman" w:hAnsi="Times New Roman"/>
          <w:sz w:val="26"/>
          <w:szCs w:val="26"/>
        </w:rPr>
        <w:t>б</w:t>
      </w:r>
      <w:r w:rsidRPr="005303AB">
        <w:rPr>
          <w:rFonts w:ascii="Times New Roman" w:hAnsi="Times New Roman"/>
          <w:sz w:val="26"/>
          <w:szCs w:val="26"/>
        </w:rPr>
        <w:t xml:space="preserve">роят на пенсиите,  ограничени на </w:t>
      </w:r>
      <w:r w:rsidR="00E61CBD">
        <w:rPr>
          <w:rFonts w:ascii="Times New Roman" w:hAnsi="Times New Roman"/>
          <w:sz w:val="26"/>
          <w:szCs w:val="26"/>
        </w:rPr>
        <w:t>максималния размер</w:t>
      </w:r>
      <w:r w:rsidR="0059291B">
        <w:rPr>
          <w:rFonts w:ascii="Times New Roman" w:hAnsi="Times New Roman"/>
          <w:sz w:val="26"/>
          <w:szCs w:val="26"/>
        </w:rPr>
        <w:t xml:space="preserve"> -</w:t>
      </w:r>
      <w:r w:rsidRPr="005303AB">
        <w:rPr>
          <w:rFonts w:ascii="Times New Roman" w:hAnsi="Times New Roman"/>
          <w:sz w:val="26"/>
          <w:szCs w:val="26"/>
        </w:rPr>
        <w:t xml:space="preserve"> от 33,2 хил. пенсии </w:t>
      </w:r>
      <w:r w:rsidR="0059291B">
        <w:rPr>
          <w:rFonts w:ascii="Times New Roman" w:hAnsi="Times New Roman"/>
          <w:sz w:val="26"/>
          <w:szCs w:val="26"/>
        </w:rPr>
        <w:t xml:space="preserve">в момента ще намалее до </w:t>
      </w:r>
      <w:r w:rsidRPr="005303AB">
        <w:rPr>
          <w:rFonts w:ascii="Times New Roman" w:hAnsi="Times New Roman"/>
          <w:sz w:val="26"/>
          <w:szCs w:val="26"/>
        </w:rPr>
        <w:t xml:space="preserve">1,0 хил. пенсии през октомври </w:t>
      </w:r>
      <w:r w:rsidR="00206847">
        <w:rPr>
          <w:rFonts w:ascii="Times New Roman" w:hAnsi="Times New Roman"/>
          <w:sz w:val="26"/>
          <w:szCs w:val="26"/>
        </w:rPr>
        <w:t>2022</w:t>
      </w:r>
      <w:r w:rsidR="004D6A75">
        <w:rPr>
          <w:rFonts w:ascii="Times New Roman" w:hAnsi="Times New Roman"/>
          <w:sz w:val="26"/>
          <w:szCs w:val="26"/>
        </w:rPr>
        <w:t> </w:t>
      </w:r>
      <w:r w:rsidRPr="005303AB">
        <w:rPr>
          <w:rFonts w:ascii="Times New Roman" w:hAnsi="Times New Roman"/>
          <w:sz w:val="26"/>
          <w:szCs w:val="26"/>
        </w:rPr>
        <w:t>г.</w:t>
      </w:r>
    </w:p>
    <w:p w:rsidR="005303AB" w:rsidRP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компенсиране на крайни потребители на горива - физически лица, които ползват за собствени нужди бензин и газьол (дизел), без добавки втечнен нефтен газ (LPG или пропан-бутан) и природен газ (метан) - предвижда разработване на Програма за компенсиране на физическите лица, крайни потребители на горива, която ще въведе механизъм за компенсация от 0.25 лв./литър за посочените горива.</w:t>
      </w:r>
    </w:p>
    <w:p w:rsid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предложени са промени за финансово обезпечаване на увеличение на трудовите възнаграждения на медицинския персонал, зает в здравните и лечебните заведения</w:t>
      </w:r>
      <w:r w:rsidR="0059291B">
        <w:rPr>
          <w:rFonts w:ascii="Times New Roman" w:hAnsi="Times New Roman"/>
          <w:sz w:val="26"/>
          <w:szCs w:val="26"/>
        </w:rPr>
        <w:t xml:space="preserve">, чиито ръководители са </w:t>
      </w:r>
      <w:r w:rsidRPr="005303AB">
        <w:rPr>
          <w:rFonts w:ascii="Times New Roman" w:hAnsi="Times New Roman"/>
          <w:sz w:val="26"/>
          <w:szCs w:val="26"/>
        </w:rPr>
        <w:t xml:space="preserve">второстепенни разпоредители с бюджет към министъра на </w:t>
      </w:r>
      <w:r w:rsidRPr="005303AB">
        <w:rPr>
          <w:rFonts w:ascii="Times New Roman" w:hAnsi="Times New Roman"/>
          <w:sz w:val="26"/>
          <w:szCs w:val="26"/>
        </w:rPr>
        <w:lastRenderedPageBreak/>
        <w:t>здравеопазването и в здравните кабинети в държавните и общинските детски градини и училища, в детските ясли и яслените групи към детски градини.</w:t>
      </w:r>
    </w:p>
    <w:p w:rsidR="00785131" w:rsidRPr="003A0C61" w:rsidRDefault="00785131" w:rsidP="005303AB">
      <w:pPr>
        <w:spacing w:line="240" w:lineRule="auto"/>
        <w:ind w:firstLine="567"/>
        <w:rPr>
          <w:rFonts w:ascii="Times New Roman" w:hAnsi="Times New Roman"/>
          <w:sz w:val="26"/>
          <w:szCs w:val="26"/>
        </w:rPr>
      </w:pPr>
      <w:r w:rsidRPr="003A0C61">
        <w:rPr>
          <w:rFonts w:ascii="Times New Roman" w:hAnsi="Times New Roman"/>
          <w:sz w:val="26"/>
          <w:szCs w:val="26"/>
        </w:rPr>
        <w:t xml:space="preserve">- </w:t>
      </w:r>
      <w:r>
        <w:rPr>
          <w:rFonts w:ascii="Times New Roman" w:hAnsi="Times New Roman"/>
          <w:sz w:val="26"/>
          <w:szCs w:val="26"/>
        </w:rPr>
        <w:t>п</w:t>
      </w:r>
      <w:r w:rsidRPr="00785131">
        <w:rPr>
          <w:rFonts w:ascii="Times New Roman" w:hAnsi="Times New Roman"/>
          <w:sz w:val="26"/>
          <w:szCs w:val="26"/>
        </w:rPr>
        <w:t xml:space="preserve">редвидени са допълнителни средства за подпомагане на уязвимите сектори в селското стопанство във връзка с разходите по Временната рамка за мерки за държавна помощ при подкрепа на икономиката след агресията на Русия срещу Украйна и по линия на съществуващите държавни помощи за хуманно отношение към свине и птици. </w:t>
      </w:r>
    </w:p>
    <w:p w:rsidR="005303AB" w:rsidRP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на база на прегледа на планираните разходи със ЗДБРБ за 2022 г. са идентифицирани икономии в разходите по държавния бюджет.</w:t>
      </w:r>
    </w:p>
    <w:p w:rsidR="005303AB" w:rsidRDefault="005303AB" w:rsidP="005303AB">
      <w:pPr>
        <w:spacing w:line="240" w:lineRule="auto"/>
        <w:ind w:firstLine="567"/>
        <w:rPr>
          <w:rFonts w:ascii="Times New Roman" w:hAnsi="Times New Roman"/>
          <w:sz w:val="26"/>
          <w:szCs w:val="26"/>
        </w:rPr>
      </w:pPr>
      <w:r w:rsidRPr="005303AB">
        <w:rPr>
          <w:rFonts w:ascii="Times New Roman" w:hAnsi="Times New Roman"/>
          <w:sz w:val="26"/>
          <w:szCs w:val="26"/>
        </w:rPr>
        <w:t>-</w:t>
      </w:r>
      <w:r w:rsidRPr="005303AB">
        <w:rPr>
          <w:rFonts w:ascii="Times New Roman" w:hAnsi="Times New Roman"/>
          <w:sz w:val="26"/>
          <w:szCs w:val="26"/>
        </w:rPr>
        <w:tab/>
        <w:t xml:space="preserve">промяна в размера на вноската на </w:t>
      </w:r>
      <w:r w:rsidR="00206847">
        <w:rPr>
          <w:rFonts w:ascii="Times New Roman" w:hAnsi="Times New Roman"/>
          <w:sz w:val="26"/>
          <w:szCs w:val="26"/>
        </w:rPr>
        <w:t>Р</w:t>
      </w:r>
      <w:r w:rsidRPr="005303AB">
        <w:rPr>
          <w:rFonts w:ascii="Times New Roman" w:hAnsi="Times New Roman"/>
          <w:sz w:val="26"/>
          <w:szCs w:val="26"/>
        </w:rPr>
        <w:t>епублика Б</w:t>
      </w:r>
      <w:r w:rsidR="00206847">
        <w:rPr>
          <w:rFonts w:ascii="Times New Roman" w:hAnsi="Times New Roman"/>
          <w:sz w:val="26"/>
          <w:szCs w:val="26"/>
        </w:rPr>
        <w:t>ългария в бюджета на ЕС за 2022</w:t>
      </w:r>
      <w:r w:rsidR="00206847">
        <w:rPr>
          <w:rFonts w:ascii="Times New Roman" w:hAnsi="Times New Roman"/>
          <w:sz w:val="26"/>
          <w:szCs w:val="26"/>
          <w:lang w:val="en-US"/>
        </w:rPr>
        <w:t> </w:t>
      </w:r>
      <w:r w:rsidRPr="005303AB">
        <w:rPr>
          <w:rFonts w:ascii="Times New Roman" w:hAnsi="Times New Roman"/>
          <w:sz w:val="26"/>
          <w:szCs w:val="26"/>
        </w:rPr>
        <w:t>г</w:t>
      </w:r>
      <w:r>
        <w:rPr>
          <w:rFonts w:ascii="Times New Roman" w:hAnsi="Times New Roman"/>
          <w:sz w:val="26"/>
          <w:szCs w:val="26"/>
        </w:rPr>
        <w:t>.</w:t>
      </w:r>
    </w:p>
    <w:p w:rsidR="00BA4188" w:rsidRPr="00BA4188" w:rsidRDefault="00BA4188" w:rsidP="005303AB">
      <w:pPr>
        <w:spacing w:line="240" w:lineRule="auto"/>
        <w:ind w:firstLine="0"/>
        <w:rPr>
          <w:rFonts w:ascii="Times New Roman" w:hAnsi="Times New Roman"/>
          <w:b/>
          <w:i/>
          <w:sz w:val="26"/>
          <w:szCs w:val="26"/>
          <w:u w:val="single"/>
        </w:rPr>
      </w:pPr>
      <w:r w:rsidRPr="00BA4188">
        <w:rPr>
          <w:rFonts w:ascii="Times New Roman" w:hAnsi="Times New Roman"/>
          <w:b/>
          <w:i/>
          <w:sz w:val="26"/>
          <w:szCs w:val="26"/>
          <w:u w:val="single"/>
        </w:rPr>
        <w:t>Актуализирана фискална рамка по КФП с разчетите към ЗИД на ЗДБРБ за 2022 г.</w:t>
      </w:r>
    </w:p>
    <w:p w:rsidR="005303AB" w:rsidRPr="005303AB" w:rsidRDefault="005303AB" w:rsidP="005303AB">
      <w:pPr>
        <w:spacing w:line="240" w:lineRule="auto"/>
        <w:ind w:firstLine="0"/>
        <w:rPr>
          <w:rFonts w:ascii="Times New Roman" w:hAnsi="Times New Roman"/>
          <w:sz w:val="26"/>
          <w:szCs w:val="26"/>
        </w:rPr>
      </w:pPr>
      <w:r w:rsidRPr="005303AB">
        <w:rPr>
          <w:rFonts w:ascii="Times New Roman" w:hAnsi="Times New Roman"/>
          <w:sz w:val="26"/>
          <w:szCs w:val="26"/>
        </w:rPr>
        <w:t xml:space="preserve">Промените в очакванията за развитието на макроикономическата среда налагат съответни промени при редица елементи на приходната част на бюджета за настоящата година. </w:t>
      </w:r>
      <w:r w:rsidR="00BA4188">
        <w:rPr>
          <w:rFonts w:ascii="Times New Roman" w:hAnsi="Times New Roman"/>
          <w:sz w:val="26"/>
          <w:szCs w:val="26"/>
        </w:rPr>
        <w:t>От друга страна предложените мерки в областта на данъчната политика с антикри</w:t>
      </w:r>
      <w:r w:rsidR="0059291B">
        <w:rPr>
          <w:rFonts w:ascii="Times New Roman" w:hAnsi="Times New Roman"/>
          <w:sz w:val="26"/>
          <w:szCs w:val="26"/>
        </w:rPr>
        <w:t>зи</w:t>
      </w:r>
      <w:r w:rsidR="00BA4188">
        <w:rPr>
          <w:rFonts w:ascii="Times New Roman" w:hAnsi="Times New Roman"/>
          <w:sz w:val="26"/>
          <w:szCs w:val="26"/>
        </w:rPr>
        <w:t>сния пакет имат съответните ефекти при отделните данъци, което също е обвързано в актуализираните разчети по приходите. В следствие на тези промени н</w:t>
      </w:r>
      <w:r w:rsidRPr="005303AB">
        <w:rPr>
          <w:rFonts w:ascii="Times New Roman" w:hAnsi="Times New Roman"/>
          <w:sz w:val="26"/>
          <w:szCs w:val="26"/>
        </w:rPr>
        <w:t xml:space="preserve">етният ефект в приходите по държавния бюджет за 2022 г. е увеличение в размер на 587,8 млн. лева. Освен това в одобрения от Съвета на ЕС План за възстановяване и устойчивост </w:t>
      </w:r>
      <w:r w:rsidR="0059291B" w:rsidRPr="0059291B">
        <w:rPr>
          <w:rFonts w:ascii="Times New Roman" w:hAnsi="Times New Roman"/>
          <w:sz w:val="26"/>
          <w:szCs w:val="26"/>
        </w:rPr>
        <w:t>(</w:t>
      </w:r>
      <w:r w:rsidR="0059291B">
        <w:rPr>
          <w:rFonts w:ascii="Times New Roman" w:hAnsi="Times New Roman"/>
          <w:sz w:val="26"/>
          <w:szCs w:val="26"/>
        </w:rPr>
        <w:t>ПВУ</w:t>
      </w:r>
      <w:r w:rsidR="0059291B" w:rsidRPr="0059291B">
        <w:rPr>
          <w:rFonts w:ascii="Times New Roman" w:hAnsi="Times New Roman"/>
          <w:sz w:val="26"/>
          <w:szCs w:val="26"/>
        </w:rPr>
        <w:t>)</w:t>
      </w:r>
      <w:r w:rsidR="0059291B">
        <w:rPr>
          <w:rFonts w:ascii="Times New Roman" w:hAnsi="Times New Roman"/>
          <w:sz w:val="26"/>
          <w:szCs w:val="26"/>
        </w:rPr>
        <w:t xml:space="preserve"> </w:t>
      </w:r>
      <w:r w:rsidRPr="005303AB">
        <w:rPr>
          <w:rFonts w:ascii="Times New Roman" w:hAnsi="Times New Roman"/>
          <w:sz w:val="26"/>
          <w:szCs w:val="26"/>
        </w:rPr>
        <w:t>на Република България и договорения профил на плащанията в рамките на техническите консултации с ЕК е предвидено през 2022 г. България да получи по-високи от планираните грантове от ЕС (увеличение от 1 057,4 млн. лв.), което променя разчета по сметк</w:t>
      </w:r>
      <w:r w:rsidR="0059291B">
        <w:rPr>
          <w:rFonts w:ascii="Times New Roman" w:hAnsi="Times New Roman"/>
          <w:sz w:val="26"/>
          <w:szCs w:val="26"/>
        </w:rPr>
        <w:t>а</w:t>
      </w:r>
      <w:r w:rsidRPr="005303AB">
        <w:rPr>
          <w:rFonts w:ascii="Times New Roman" w:hAnsi="Times New Roman"/>
          <w:sz w:val="26"/>
          <w:szCs w:val="26"/>
        </w:rPr>
        <w:t>т</w:t>
      </w:r>
      <w:r w:rsidR="0059291B">
        <w:rPr>
          <w:rFonts w:ascii="Times New Roman" w:hAnsi="Times New Roman"/>
          <w:sz w:val="26"/>
          <w:szCs w:val="26"/>
        </w:rPr>
        <w:t>а</w:t>
      </w:r>
      <w:r w:rsidRPr="005303AB">
        <w:rPr>
          <w:rFonts w:ascii="Times New Roman" w:hAnsi="Times New Roman"/>
          <w:sz w:val="26"/>
          <w:szCs w:val="26"/>
        </w:rPr>
        <w:t xml:space="preserve"> за средства от ЕС</w:t>
      </w:r>
      <w:r w:rsidR="0059291B">
        <w:rPr>
          <w:rFonts w:ascii="Times New Roman" w:hAnsi="Times New Roman"/>
          <w:sz w:val="26"/>
          <w:szCs w:val="26"/>
        </w:rPr>
        <w:t xml:space="preserve"> на Националния фонд</w:t>
      </w:r>
      <w:r w:rsidRPr="005303AB">
        <w:rPr>
          <w:rFonts w:ascii="Times New Roman" w:hAnsi="Times New Roman"/>
          <w:sz w:val="26"/>
          <w:szCs w:val="26"/>
        </w:rPr>
        <w:t xml:space="preserve">, съответно разчета по </w:t>
      </w:r>
      <w:r w:rsidR="0059291B">
        <w:rPr>
          <w:rFonts w:ascii="Times New Roman" w:hAnsi="Times New Roman"/>
          <w:sz w:val="26"/>
          <w:szCs w:val="26"/>
        </w:rPr>
        <w:t>КФП</w:t>
      </w:r>
      <w:r w:rsidRPr="005303AB">
        <w:rPr>
          <w:rFonts w:ascii="Times New Roman" w:hAnsi="Times New Roman"/>
          <w:sz w:val="26"/>
          <w:szCs w:val="26"/>
        </w:rPr>
        <w:t>. Отчитайки съответните ефекти в разчетите, произтичащи от тези обстоятелства, М</w:t>
      </w:r>
      <w:r w:rsidR="0059291B">
        <w:rPr>
          <w:rFonts w:ascii="Times New Roman" w:hAnsi="Times New Roman"/>
          <w:sz w:val="26"/>
          <w:szCs w:val="26"/>
        </w:rPr>
        <w:t>Ф</w:t>
      </w:r>
      <w:r w:rsidRPr="005303AB">
        <w:rPr>
          <w:rFonts w:ascii="Times New Roman" w:hAnsi="Times New Roman"/>
          <w:sz w:val="26"/>
          <w:szCs w:val="26"/>
        </w:rPr>
        <w:t xml:space="preserve"> изготви актуализирани разчети </w:t>
      </w:r>
      <w:r w:rsidR="0059291B">
        <w:rPr>
          <w:rFonts w:ascii="Times New Roman" w:hAnsi="Times New Roman"/>
          <w:sz w:val="26"/>
          <w:szCs w:val="26"/>
        </w:rPr>
        <w:t>на</w:t>
      </w:r>
      <w:r w:rsidRPr="005303AB">
        <w:rPr>
          <w:rFonts w:ascii="Times New Roman" w:hAnsi="Times New Roman"/>
          <w:sz w:val="26"/>
          <w:szCs w:val="26"/>
        </w:rPr>
        <w:t xml:space="preserve"> приходите по консолидираната фискална програма. Нетното увеличение на приходите от посочените промени по КФП възлиза на </w:t>
      </w:r>
      <w:r w:rsidRPr="005303AB">
        <w:rPr>
          <w:rFonts w:ascii="Times New Roman" w:hAnsi="Times New Roman"/>
          <w:b/>
          <w:sz w:val="26"/>
          <w:szCs w:val="26"/>
        </w:rPr>
        <w:t>1 645,2</w:t>
      </w:r>
      <w:r w:rsidRPr="005303AB">
        <w:rPr>
          <w:rFonts w:ascii="Times New Roman" w:hAnsi="Times New Roman"/>
          <w:sz w:val="26"/>
          <w:szCs w:val="26"/>
        </w:rPr>
        <w:t xml:space="preserve"> млн. лв., което представлява 1,1 на сто от прогнозния БВП.</w:t>
      </w:r>
    </w:p>
    <w:p w:rsidR="005303AB" w:rsidRPr="005303AB" w:rsidRDefault="005303AB" w:rsidP="005303AB">
      <w:pPr>
        <w:spacing w:line="240" w:lineRule="auto"/>
        <w:ind w:firstLine="0"/>
        <w:rPr>
          <w:rFonts w:ascii="Times New Roman" w:hAnsi="Times New Roman"/>
          <w:sz w:val="26"/>
          <w:szCs w:val="26"/>
        </w:rPr>
      </w:pPr>
      <w:r w:rsidRPr="005303AB">
        <w:rPr>
          <w:rFonts w:ascii="Times New Roman" w:hAnsi="Times New Roman"/>
          <w:sz w:val="26"/>
          <w:szCs w:val="26"/>
        </w:rPr>
        <w:t xml:space="preserve">В частта на разходите и вноската в общия бюджет на ЕС актуализираната фискална рамка по КФП обвързва допълнителните разходи по бюджетите на </w:t>
      </w:r>
      <w:r w:rsidR="0059291B">
        <w:rPr>
          <w:rFonts w:ascii="Times New Roman" w:hAnsi="Times New Roman"/>
          <w:sz w:val="26"/>
          <w:szCs w:val="26"/>
        </w:rPr>
        <w:t>ДОО</w:t>
      </w:r>
      <w:r w:rsidRPr="005303AB">
        <w:rPr>
          <w:rFonts w:ascii="Times New Roman" w:hAnsi="Times New Roman"/>
          <w:sz w:val="26"/>
          <w:szCs w:val="26"/>
        </w:rPr>
        <w:t>, респективно НЗОК, свързани с мерките в пенсионната сфера, както и необходимият ресурс за компенсациите към крайните потребители физически лица на горива, залегнали в антикризисния пакет, и други мерки, в т.ч. увеличение на трудовите възнаграждения на медицинския персонал, зает в здравните и лечебните заведения</w:t>
      </w:r>
      <w:r w:rsidR="00DE4369">
        <w:rPr>
          <w:rFonts w:ascii="Times New Roman" w:hAnsi="Times New Roman"/>
          <w:sz w:val="26"/>
          <w:szCs w:val="26"/>
        </w:rPr>
        <w:t>, чиито ръководители са</w:t>
      </w:r>
      <w:r w:rsidRPr="005303AB">
        <w:rPr>
          <w:rFonts w:ascii="Times New Roman" w:hAnsi="Times New Roman"/>
          <w:sz w:val="26"/>
          <w:szCs w:val="26"/>
        </w:rPr>
        <w:t xml:space="preserve"> второстепенни разпоредители с бюджет към министъра на здравеопазването и в здравните кабинети в държавните и общинските детски градини и училища, в детските ясли и яслените групи към детски градини, </w:t>
      </w:r>
      <w:r w:rsidR="00103805" w:rsidRPr="00103805">
        <w:rPr>
          <w:rFonts w:ascii="Times New Roman" w:hAnsi="Times New Roman"/>
          <w:sz w:val="26"/>
          <w:szCs w:val="26"/>
        </w:rPr>
        <w:t xml:space="preserve">за подкрепа на уязвимите сектори в селското стопанство във връзка с разходите за подкрепа по Временната рамка за мерки за държавна помощ при подкрепа на икономиката след агресията на Русия срещу Украйна и по линия на съществуващите държавни помощи за хуманно отношение към животните, </w:t>
      </w:r>
      <w:r w:rsidRPr="005303AB">
        <w:rPr>
          <w:rFonts w:ascii="Times New Roman" w:hAnsi="Times New Roman"/>
          <w:sz w:val="26"/>
          <w:szCs w:val="26"/>
        </w:rPr>
        <w:t xml:space="preserve">по-висок от планирания за годината размер на вноската на Република България в общия бюджет на ЕС, икономии в някои планирани разходи и други. Нетният ефект в разходите по КФП от посочените промени възлиза на увеличение на годишния разчет за 2022 г. с </w:t>
      </w:r>
      <w:r w:rsidRPr="005303AB">
        <w:rPr>
          <w:rFonts w:ascii="Times New Roman" w:hAnsi="Times New Roman"/>
          <w:b/>
          <w:sz w:val="26"/>
          <w:szCs w:val="26"/>
        </w:rPr>
        <w:t>1 973,3</w:t>
      </w:r>
      <w:r w:rsidRPr="005303AB">
        <w:rPr>
          <w:rFonts w:ascii="Times New Roman" w:hAnsi="Times New Roman"/>
          <w:sz w:val="26"/>
          <w:szCs w:val="26"/>
        </w:rPr>
        <w:t xml:space="preserve"> млн. лв., което представлява 1,3 на сто от прогнозния БВП за годината.</w:t>
      </w:r>
    </w:p>
    <w:p w:rsidR="0077547E" w:rsidRDefault="005303AB" w:rsidP="005303AB">
      <w:pPr>
        <w:spacing w:line="240" w:lineRule="auto"/>
        <w:ind w:firstLine="0"/>
        <w:rPr>
          <w:rFonts w:ascii="Times New Roman" w:hAnsi="Times New Roman"/>
          <w:b/>
          <w:i/>
          <w:sz w:val="26"/>
          <w:szCs w:val="26"/>
        </w:rPr>
      </w:pPr>
      <w:r w:rsidRPr="005303AB">
        <w:rPr>
          <w:rFonts w:ascii="Times New Roman" w:hAnsi="Times New Roman"/>
          <w:sz w:val="26"/>
          <w:szCs w:val="26"/>
        </w:rPr>
        <w:t xml:space="preserve">Посочените нетни ефекти в приходите и разходите по </w:t>
      </w:r>
      <w:r w:rsidR="00DE4369">
        <w:rPr>
          <w:rFonts w:ascii="Times New Roman" w:hAnsi="Times New Roman"/>
          <w:sz w:val="26"/>
          <w:szCs w:val="26"/>
        </w:rPr>
        <w:t>КФП</w:t>
      </w:r>
      <w:r w:rsidRPr="005303AB">
        <w:rPr>
          <w:rFonts w:ascii="Times New Roman" w:hAnsi="Times New Roman"/>
          <w:sz w:val="26"/>
          <w:szCs w:val="26"/>
        </w:rPr>
        <w:t xml:space="preserve"> са разчетени при запазване на заложената целева стойност по отношение на размера на дефицита по КФП, отнесен към прогнозния БВП за 2022 г</w:t>
      </w:r>
      <w:r w:rsidR="00DE4369">
        <w:rPr>
          <w:rFonts w:ascii="Times New Roman" w:hAnsi="Times New Roman"/>
          <w:sz w:val="26"/>
          <w:szCs w:val="26"/>
        </w:rPr>
        <w:t>.</w:t>
      </w:r>
      <w:r w:rsidRPr="005303AB">
        <w:rPr>
          <w:rFonts w:ascii="Times New Roman" w:hAnsi="Times New Roman"/>
          <w:sz w:val="26"/>
          <w:szCs w:val="26"/>
        </w:rPr>
        <w:t xml:space="preserve">, като съответно </w:t>
      </w:r>
      <w:r w:rsidRPr="005303AB">
        <w:rPr>
          <w:rFonts w:ascii="Times New Roman" w:hAnsi="Times New Roman"/>
          <w:b/>
          <w:i/>
          <w:sz w:val="26"/>
          <w:szCs w:val="26"/>
        </w:rPr>
        <w:t>салдото по КФП за 2022 г. се предвижда да бъде отрицателно в размер на 4,1 на сто от прогнозния БВП</w:t>
      </w:r>
      <w:r>
        <w:rPr>
          <w:rFonts w:ascii="Times New Roman" w:hAnsi="Times New Roman"/>
          <w:b/>
          <w:i/>
          <w:sz w:val="26"/>
          <w:szCs w:val="26"/>
        </w:rPr>
        <w:t>.</w:t>
      </w:r>
    </w:p>
    <w:p w:rsidR="005303AB" w:rsidRPr="003924E0" w:rsidRDefault="005303AB" w:rsidP="005303AB">
      <w:pPr>
        <w:spacing w:line="240" w:lineRule="auto"/>
        <w:ind w:firstLine="0"/>
        <w:rPr>
          <w:rFonts w:ascii="Times New Roman" w:hAnsi="Times New Roman"/>
          <w:b/>
          <w:i/>
          <w:sz w:val="26"/>
          <w:szCs w:val="26"/>
          <w:u w:val="single"/>
        </w:rPr>
      </w:pPr>
      <w:r w:rsidRPr="003924E0">
        <w:rPr>
          <w:rFonts w:ascii="Times New Roman" w:hAnsi="Times New Roman"/>
          <w:b/>
          <w:i/>
          <w:sz w:val="26"/>
          <w:szCs w:val="26"/>
          <w:u w:val="single"/>
        </w:rPr>
        <w:lastRenderedPageBreak/>
        <w:t>Промени по държавния бюджет за 2022 г.</w:t>
      </w:r>
    </w:p>
    <w:p w:rsidR="005303AB" w:rsidRPr="003924E0" w:rsidRDefault="005303AB" w:rsidP="005303AB">
      <w:pPr>
        <w:spacing w:line="240" w:lineRule="auto"/>
        <w:ind w:firstLine="0"/>
        <w:rPr>
          <w:rFonts w:ascii="Times New Roman" w:hAnsi="Times New Roman"/>
          <w:sz w:val="26"/>
          <w:szCs w:val="26"/>
        </w:rPr>
      </w:pPr>
      <w:r w:rsidRPr="003924E0">
        <w:rPr>
          <w:rFonts w:ascii="Times New Roman" w:hAnsi="Times New Roman"/>
          <w:sz w:val="26"/>
          <w:szCs w:val="26"/>
        </w:rPr>
        <w:t>С оглед съгласуваност на отделните закони в съответствие с предложените антикризисни мерки и променените макроикономически очаквания се налагат промени в разчетите по приходите, разходите, бюджетните взаимоотношения (трансферите), вноската на Република България в общия бюджет на ЕС</w:t>
      </w:r>
      <w:r w:rsidR="00DE4369" w:rsidRPr="003924E0">
        <w:rPr>
          <w:rFonts w:ascii="Times New Roman" w:hAnsi="Times New Roman"/>
          <w:sz w:val="26"/>
          <w:szCs w:val="26"/>
        </w:rPr>
        <w:t>,</w:t>
      </w:r>
      <w:r w:rsidRPr="003924E0">
        <w:rPr>
          <w:rFonts w:ascii="Times New Roman" w:hAnsi="Times New Roman"/>
          <w:sz w:val="26"/>
          <w:szCs w:val="26"/>
        </w:rPr>
        <w:t xml:space="preserve"> бюджетното салдо и операциите в частта на финансирането по държавния бюджет за 2022 г.</w:t>
      </w:r>
    </w:p>
    <w:p w:rsidR="005303AB" w:rsidRPr="003924E0" w:rsidRDefault="005303AB" w:rsidP="005303AB">
      <w:pPr>
        <w:spacing w:line="240" w:lineRule="auto"/>
        <w:ind w:firstLine="0"/>
        <w:rPr>
          <w:rFonts w:ascii="Times New Roman" w:hAnsi="Times New Roman"/>
          <w:sz w:val="26"/>
          <w:szCs w:val="26"/>
        </w:rPr>
      </w:pPr>
      <w:r w:rsidRPr="003924E0">
        <w:rPr>
          <w:rFonts w:ascii="Times New Roman" w:hAnsi="Times New Roman"/>
          <w:b/>
          <w:sz w:val="26"/>
          <w:szCs w:val="26"/>
        </w:rPr>
        <w:t xml:space="preserve">Данъчните приходи </w:t>
      </w:r>
      <w:r w:rsidRPr="003924E0">
        <w:rPr>
          <w:rFonts w:ascii="Times New Roman" w:hAnsi="Times New Roman"/>
          <w:sz w:val="26"/>
          <w:szCs w:val="26"/>
        </w:rPr>
        <w:t>се предвижда</w:t>
      </w:r>
      <w:r w:rsidRPr="003924E0">
        <w:rPr>
          <w:rFonts w:ascii="Times New Roman" w:hAnsi="Times New Roman"/>
          <w:b/>
          <w:sz w:val="26"/>
          <w:szCs w:val="26"/>
        </w:rPr>
        <w:t xml:space="preserve"> </w:t>
      </w:r>
      <w:r w:rsidRPr="003924E0">
        <w:rPr>
          <w:rFonts w:ascii="Times New Roman" w:hAnsi="Times New Roman"/>
          <w:sz w:val="26"/>
          <w:szCs w:val="26"/>
        </w:rPr>
        <w:t xml:space="preserve">да нараснат </w:t>
      </w:r>
      <w:r w:rsidR="00491D62" w:rsidRPr="003924E0">
        <w:rPr>
          <w:rFonts w:ascii="Times New Roman" w:hAnsi="Times New Roman"/>
          <w:sz w:val="26"/>
          <w:szCs w:val="26"/>
        </w:rPr>
        <w:t xml:space="preserve">нетно </w:t>
      </w:r>
      <w:r w:rsidRPr="003924E0">
        <w:rPr>
          <w:rFonts w:ascii="Times New Roman" w:hAnsi="Times New Roman"/>
          <w:sz w:val="26"/>
          <w:szCs w:val="26"/>
        </w:rPr>
        <w:t>с</w:t>
      </w:r>
      <w:r w:rsidRPr="003924E0">
        <w:rPr>
          <w:rFonts w:ascii="Times New Roman" w:hAnsi="Times New Roman"/>
          <w:b/>
          <w:sz w:val="26"/>
          <w:szCs w:val="26"/>
        </w:rPr>
        <w:t xml:space="preserve"> 347,5 млн. лв.,</w:t>
      </w:r>
      <w:r w:rsidRPr="003924E0">
        <w:rPr>
          <w:rFonts w:ascii="Times New Roman" w:hAnsi="Times New Roman"/>
          <w:sz w:val="26"/>
          <w:szCs w:val="26"/>
        </w:rPr>
        <w:t xml:space="preserve"> като промените по отделните видове данъци са както следва:</w:t>
      </w:r>
    </w:p>
    <w:p w:rsidR="005303AB" w:rsidRPr="003924E0" w:rsidRDefault="005303AB" w:rsidP="00DB6F94">
      <w:pPr>
        <w:spacing w:after="0" w:line="240" w:lineRule="auto"/>
        <w:ind w:firstLine="426"/>
        <w:rPr>
          <w:rFonts w:ascii="Times New Roman" w:hAnsi="Times New Roman"/>
          <w:sz w:val="26"/>
          <w:szCs w:val="26"/>
        </w:rPr>
      </w:pPr>
      <w:r w:rsidRPr="003924E0">
        <w:rPr>
          <w:rFonts w:ascii="Times New Roman" w:hAnsi="Times New Roman"/>
          <w:sz w:val="26"/>
          <w:szCs w:val="26"/>
        </w:rPr>
        <w:t>-</w:t>
      </w:r>
      <w:r w:rsidRPr="003924E0">
        <w:rPr>
          <w:rFonts w:ascii="Times New Roman" w:hAnsi="Times New Roman"/>
          <w:sz w:val="26"/>
          <w:szCs w:val="26"/>
        </w:rPr>
        <w:tab/>
        <w:t>приходи от корпоративни данъци и други данъци по ЗКПО – увеличение със 112,5 млн. лв.</w:t>
      </w:r>
    </w:p>
    <w:p w:rsidR="005303AB" w:rsidRPr="003924E0" w:rsidRDefault="00491D62" w:rsidP="00DB6F94">
      <w:pPr>
        <w:spacing w:after="0" w:line="240" w:lineRule="auto"/>
        <w:ind w:firstLine="426"/>
        <w:rPr>
          <w:rFonts w:ascii="Times New Roman" w:hAnsi="Times New Roman"/>
          <w:sz w:val="26"/>
          <w:szCs w:val="26"/>
        </w:rPr>
      </w:pPr>
      <w:r w:rsidRPr="003924E0">
        <w:rPr>
          <w:rFonts w:ascii="Times New Roman" w:hAnsi="Times New Roman"/>
          <w:sz w:val="26"/>
          <w:szCs w:val="26"/>
        </w:rPr>
        <w:t>-</w:t>
      </w:r>
      <w:r w:rsidRPr="003924E0">
        <w:rPr>
          <w:rFonts w:ascii="Times New Roman" w:hAnsi="Times New Roman"/>
          <w:sz w:val="26"/>
          <w:szCs w:val="26"/>
        </w:rPr>
        <w:tab/>
        <w:t>приходи от ДДФЛ</w:t>
      </w:r>
      <w:r w:rsidR="005303AB" w:rsidRPr="003924E0">
        <w:rPr>
          <w:rFonts w:ascii="Times New Roman" w:hAnsi="Times New Roman"/>
          <w:sz w:val="26"/>
          <w:szCs w:val="26"/>
        </w:rPr>
        <w:t xml:space="preserve"> – намаление с 230</w:t>
      </w:r>
      <w:r w:rsidR="00DE4369" w:rsidRPr="003924E0">
        <w:rPr>
          <w:rFonts w:ascii="Times New Roman" w:hAnsi="Times New Roman"/>
          <w:sz w:val="26"/>
          <w:szCs w:val="26"/>
        </w:rPr>
        <w:t>,0</w:t>
      </w:r>
      <w:r w:rsidR="005303AB" w:rsidRPr="003924E0">
        <w:rPr>
          <w:rFonts w:ascii="Times New Roman" w:hAnsi="Times New Roman"/>
          <w:sz w:val="26"/>
          <w:szCs w:val="26"/>
        </w:rPr>
        <w:t xml:space="preserve"> млн. лв.</w:t>
      </w:r>
    </w:p>
    <w:p w:rsidR="005303AB" w:rsidRPr="003924E0" w:rsidRDefault="005303AB" w:rsidP="00DB6F94">
      <w:pPr>
        <w:spacing w:after="0" w:line="240" w:lineRule="auto"/>
        <w:ind w:firstLine="426"/>
        <w:rPr>
          <w:rFonts w:ascii="Times New Roman" w:hAnsi="Times New Roman"/>
          <w:sz w:val="26"/>
          <w:szCs w:val="26"/>
        </w:rPr>
      </w:pPr>
      <w:r w:rsidRPr="003924E0">
        <w:rPr>
          <w:rFonts w:ascii="Times New Roman" w:hAnsi="Times New Roman"/>
          <w:sz w:val="26"/>
          <w:szCs w:val="26"/>
        </w:rPr>
        <w:t>-</w:t>
      </w:r>
      <w:r w:rsidRPr="003924E0">
        <w:rPr>
          <w:rFonts w:ascii="Times New Roman" w:hAnsi="Times New Roman"/>
          <w:sz w:val="26"/>
          <w:szCs w:val="26"/>
        </w:rPr>
        <w:tab/>
        <w:t>приходи от ДДС – увеличение с 480</w:t>
      </w:r>
      <w:r w:rsidR="00DE4369" w:rsidRPr="003924E0">
        <w:rPr>
          <w:rFonts w:ascii="Times New Roman" w:hAnsi="Times New Roman"/>
          <w:sz w:val="26"/>
          <w:szCs w:val="26"/>
        </w:rPr>
        <w:t>,0</w:t>
      </w:r>
      <w:r w:rsidRPr="003924E0">
        <w:rPr>
          <w:rFonts w:ascii="Times New Roman" w:hAnsi="Times New Roman"/>
          <w:sz w:val="26"/>
          <w:szCs w:val="26"/>
        </w:rPr>
        <w:t xml:space="preserve"> млн. лв.</w:t>
      </w:r>
    </w:p>
    <w:p w:rsidR="005303AB" w:rsidRPr="003924E0" w:rsidRDefault="005303AB" w:rsidP="00DB6F94">
      <w:pPr>
        <w:spacing w:after="0" w:line="240" w:lineRule="auto"/>
        <w:ind w:firstLine="426"/>
        <w:rPr>
          <w:rFonts w:ascii="Times New Roman" w:hAnsi="Times New Roman"/>
          <w:sz w:val="26"/>
          <w:szCs w:val="26"/>
        </w:rPr>
      </w:pPr>
      <w:r w:rsidRPr="003924E0">
        <w:rPr>
          <w:rFonts w:ascii="Times New Roman" w:hAnsi="Times New Roman"/>
          <w:sz w:val="26"/>
          <w:szCs w:val="26"/>
        </w:rPr>
        <w:t>-</w:t>
      </w:r>
      <w:r w:rsidRPr="003924E0">
        <w:rPr>
          <w:rFonts w:ascii="Times New Roman" w:hAnsi="Times New Roman"/>
          <w:sz w:val="26"/>
          <w:szCs w:val="26"/>
        </w:rPr>
        <w:tab/>
        <w:t>приходи от акцизи – намаление с 95,0 млн. лв.</w:t>
      </w:r>
    </w:p>
    <w:p w:rsidR="005303AB" w:rsidRPr="003924E0" w:rsidRDefault="005303AB" w:rsidP="00DB6F94">
      <w:pPr>
        <w:spacing w:after="0" w:line="240" w:lineRule="auto"/>
        <w:ind w:firstLine="426"/>
        <w:rPr>
          <w:rFonts w:ascii="Times New Roman" w:hAnsi="Times New Roman"/>
          <w:sz w:val="26"/>
          <w:szCs w:val="26"/>
        </w:rPr>
      </w:pPr>
      <w:r w:rsidRPr="003924E0">
        <w:rPr>
          <w:rFonts w:ascii="Times New Roman" w:hAnsi="Times New Roman"/>
          <w:sz w:val="26"/>
          <w:szCs w:val="26"/>
        </w:rPr>
        <w:t>-</w:t>
      </w:r>
      <w:r w:rsidRPr="003924E0">
        <w:rPr>
          <w:rFonts w:ascii="Times New Roman" w:hAnsi="Times New Roman"/>
          <w:sz w:val="26"/>
          <w:szCs w:val="26"/>
        </w:rPr>
        <w:tab/>
        <w:t>приходи от мита и митнически такси – увеличение със 76,9 млн. лв.</w:t>
      </w:r>
    </w:p>
    <w:p w:rsidR="005303AB" w:rsidRPr="003924E0" w:rsidRDefault="005303AB" w:rsidP="00DB6F94">
      <w:pPr>
        <w:spacing w:after="0" w:line="240" w:lineRule="auto"/>
        <w:ind w:firstLine="426"/>
        <w:rPr>
          <w:rFonts w:ascii="Times New Roman" w:hAnsi="Times New Roman"/>
          <w:sz w:val="26"/>
          <w:szCs w:val="26"/>
        </w:rPr>
      </w:pPr>
      <w:r w:rsidRPr="003924E0">
        <w:rPr>
          <w:rFonts w:ascii="Times New Roman" w:hAnsi="Times New Roman"/>
          <w:sz w:val="26"/>
          <w:szCs w:val="26"/>
        </w:rPr>
        <w:t>-</w:t>
      </w:r>
      <w:r w:rsidRPr="003924E0">
        <w:rPr>
          <w:rFonts w:ascii="Times New Roman" w:hAnsi="Times New Roman"/>
          <w:sz w:val="26"/>
          <w:szCs w:val="26"/>
        </w:rPr>
        <w:tab/>
        <w:t>приходи от данък върху застрахователните премии</w:t>
      </w:r>
      <w:r w:rsidR="00F55BD5" w:rsidRPr="003924E0">
        <w:rPr>
          <w:rFonts w:ascii="Times New Roman" w:hAnsi="Times New Roman"/>
          <w:sz w:val="26"/>
          <w:szCs w:val="26"/>
        </w:rPr>
        <w:t xml:space="preserve"> </w:t>
      </w:r>
      <w:r w:rsidRPr="003924E0">
        <w:rPr>
          <w:rFonts w:ascii="Times New Roman" w:hAnsi="Times New Roman"/>
          <w:sz w:val="26"/>
          <w:szCs w:val="26"/>
        </w:rPr>
        <w:t>- увеличение с 3,1 млн. лв.</w:t>
      </w:r>
    </w:p>
    <w:p w:rsidR="005303AB" w:rsidRPr="003924E0" w:rsidRDefault="005303AB" w:rsidP="005303AB">
      <w:pPr>
        <w:spacing w:line="240" w:lineRule="auto"/>
        <w:ind w:firstLine="0"/>
        <w:rPr>
          <w:rFonts w:ascii="Times New Roman" w:hAnsi="Times New Roman"/>
          <w:sz w:val="26"/>
          <w:szCs w:val="26"/>
        </w:rPr>
      </w:pPr>
      <w:r w:rsidRPr="003924E0">
        <w:rPr>
          <w:rFonts w:ascii="Times New Roman" w:hAnsi="Times New Roman"/>
          <w:sz w:val="26"/>
          <w:szCs w:val="26"/>
        </w:rPr>
        <w:t xml:space="preserve">В частта на </w:t>
      </w:r>
      <w:r w:rsidRPr="003924E0">
        <w:rPr>
          <w:rFonts w:ascii="Times New Roman" w:hAnsi="Times New Roman"/>
          <w:b/>
          <w:sz w:val="26"/>
          <w:szCs w:val="26"/>
        </w:rPr>
        <w:t>неданъчните приходи</w:t>
      </w:r>
      <w:r w:rsidRPr="003924E0">
        <w:rPr>
          <w:rFonts w:ascii="Times New Roman" w:hAnsi="Times New Roman"/>
          <w:sz w:val="26"/>
          <w:szCs w:val="26"/>
        </w:rPr>
        <w:t>, в съответствие с Разпореждане № 5 на Министерския съвет от 27.04.2022 г. за установяване и внасяне в полза на държавата на отчисления от печалбата от държавни предприятия и търговски дружества с държавно участие в капитала, приходите от дивиденти са увеличени, като отчитайки и другите ефекти в неданъчните приходи по държавния бюджет е предвидено те да нараснат с 240,2 млн. лв.</w:t>
      </w:r>
    </w:p>
    <w:p w:rsidR="000C51D8" w:rsidRPr="003924E0" w:rsidRDefault="000C51D8" w:rsidP="005303AB">
      <w:pPr>
        <w:spacing w:line="240" w:lineRule="auto"/>
        <w:ind w:firstLine="0"/>
        <w:rPr>
          <w:rFonts w:ascii="Times New Roman" w:hAnsi="Times New Roman"/>
          <w:sz w:val="26"/>
          <w:szCs w:val="26"/>
        </w:rPr>
      </w:pPr>
      <w:r w:rsidRPr="003924E0">
        <w:rPr>
          <w:rFonts w:ascii="Times New Roman" w:hAnsi="Times New Roman"/>
          <w:sz w:val="26"/>
          <w:szCs w:val="26"/>
        </w:rPr>
        <w:t xml:space="preserve">В законопроекта е предложено увеличение на </w:t>
      </w:r>
      <w:r w:rsidRPr="003924E0">
        <w:rPr>
          <w:rFonts w:ascii="Times New Roman" w:hAnsi="Times New Roman"/>
          <w:b/>
          <w:sz w:val="26"/>
          <w:szCs w:val="26"/>
        </w:rPr>
        <w:t>разходите</w:t>
      </w:r>
      <w:r w:rsidRPr="003924E0">
        <w:rPr>
          <w:rFonts w:ascii="Times New Roman" w:hAnsi="Times New Roman"/>
          <w:sz w:val="26"/>
          <w:szCs w:val="26"/>
        </w:rPr>
        <w:t xml:space="preserve"> по държавния бюджет с </w:t>
      </w:r>
      <w:r w:rsidRPr="003924E0">
        <w:rPr>
          <w:rFonts w:ascii="Times New Roman" w:hAnsi="Times New Roman"/>
          <w:b/>
          <w:sz w:val="26"/>
          <w:szCs w:val="26"/>
        </w:rPr>
        <w:t>349,5 млн. лв.</w:t>
      </w:r>
      <w:r w:rsidRPr="003924E0">
        <w:rPr>
          <w:rFonts w:ascii="Times New Roman" w:hAnsi="Times New Roman"/>
          <w:sz w:val="26"/>
          <w:szCs w:val="26"/>
        </w:rPr>
        <w:t>, основно във връзка с Програма за компенсиране на физическите лица, крайни потребители на горива</w:t>
      </w:r>
      <w:r w:rsidR="007916CB">
        <w:rPr>
          <w:rFonts w:ascii="Times New Roman" w:hAnsi="Times New Roman"/>
          <w:sz w:val="26"/>
          <w:szCs w:val="26"/>
        </w:rPr>
        <w:t xml:space="preserve">, </w:t>
      </w:r>
      <w:r w:rsidR="007916CB" w:rsidRPr="007916CB">
        <w:rPr>
          <w:rFonts w:ascii="Times New Roman" w:hAnsi="Times New Roman"/>
          <w:sz w:val="26"/>
          <w:szCs w:val="26"/>
        </w:rPr>
        <w:t>за подкрепа на уязвимите сектори в селското стопанство във връзка с разходите за подкрепа по Временната рамка за мерки за държавна помощ при подкрепа на икономиката след агресията на Русия срещу Украйна и по линия на съществуващите държавни помощи за хуманно отношение към животните</w:t>
      </w:r>
      <w:r w:rsidRPr="003924E0">
        <w:rPr>
          <w:rFonts w:ascii="Times New Roman" w:hAnsi="Times New Roman"/>
          <w:sz w:val="26"/>
          <w:szCs w:val="26"/>
        </w:rPr>
        <w:t xml:space="preserve"> и други приоритетни разходи, както и увеличение в частта на </w:t>
      </w:r>
      <w:r w:rsidRPr="003924E0">
        <w:rPr>
          <w:rFonts w:ascii="Times New Roman" w:hAnsi="Times New Roman"/>
          <w:b/>
          <w:sz w:val="26"/>
          <w:szCs w:val="26"/>
        </w:rPr>
        <w:t>бюджетните взаимоотношения (трансферите)</w:t>
      </w:r>
      <w:r w:rsidRPr="003924E0">
        <w:rPr>
          <w:rFonts w:ascii="Times New Roman" w:hAnsi="Times New Roman"/>
          <w:sz w:val="26"/>
          <w:szCs w:val="26"/>
        </w:rPr>
        <w:t xml:space="preserve"> поради предвидените промени в пенсионната сфера и увеличение на размера на вноската на Република България в общия бюджет на ЕС за 2022 г. </w:t>
      </w:r>
    </w:p>
    <w:p w:rsidR="005303AB" w:rsidRDefault="00F55BD5" w:rsidP="00E0741B">
      <w:pPr>
        <w:spacing w:line="240" w:lineRule="auto"/>
        <w:ind w:firstLine="0"/>
        <w:rPr>
          <w:rFonts w:ascii="Times New Roman" w:hAnsi="Times New Roman"/>
          <w:b/>
          <w:sz w:val="26"/>
          <w:szCs w:val="26"/>
        </w:rPr>
      </w:pPr>
      <w:r w:rsidRPr="003924E0">
        <w:rPr>
          <w:rFonts w:ascii="Times New Roman" w:hAnsi="Times New Roman"/>
          <w:color w:val="000000"/>
          <w:sz w:val="26"/>
          <w:szCs w:val="26"/>
        </w:rPr>
        <w:t>Освен това в частта на финансирането се предлагат и мерки по отношение на обезпечаването на допълнителен ресурс от дългови източници през 2022 г. за префинансиране на предстоящите погашения по държавния дълг в началото на 2023 г., в т.ч. падежа през първото тримесечие на 2023 г. на облигациите, емитирани на международните финансови пазари.</w:t>
      </w:r>
      <w:r w:rsidRPr="003924E0">
        <w:rPr>
          <w:rFonts w:ascii="Times New Roman" w:hAnsi="Times New Roman"/>
          <w:sz w:val="26"/>
          <w:szCs w:val="26"/>
        </w:rPr>
        <w:t xml:space="preserve"> С</w:t>
      </w:r>
      <w:r w:rsidR="005303AB" w:rsidRPr="003924E0">
        <w:rPr>
          <w:rFonts w:ascii="Times New Roman" w:hAnsi="Times New Roman"/>
          <w:sz w:val="26"/>
          <w:szCs w:val="26"/>
        </w:rPr>
        <w:t xml:space="preserve">ъс законопроекта е предложено </w:t>
      </w:r>
      <w:r w:rsidR="005303AB" w:rsidRPr="003924E0">
        <w:rPr>
          <w:rFonts w:ascii="Times New Roman" w:hAnsi="Times New Roman"/>
          <w:b/>
          <w:sz w:val="26"/>
          <w:szCs w:val="26"/>
        </w:rPr>
        <w:t>увеличение на максималния размер на новия държавен дълг, който може да бъде поет през 2022 г. от 7,3 млрд. лв. на 10,3 млрд. лв.</w:t>
      </w:r>
      <w:r w:rsidR="005303AB" w:rsidRPr="003924E0">
        <w:rPr>
          <w:rFonts w:ascii="Times New Roman" w:hAnsi="Times New Roman"/>
          <w:sz w:val="26"/>
          <w:szCs w:val="26"/>
        </w:rPr>
        <w:t xml:space="preserve">, </w:t>
      </w:r>
      <w:r w:rsidR="00E0741B" w:rsidRPr="003924E0">
        <w:rPr>
          <w:rFonts w:ascii="Times New Roman" w:hAnsi="Times New Roman"/>
          <w:b/>
          <w:sz w:val="26"/>
          <w:szCs w:val="26"/>
        </w:rPr>
        <w:t xml:space="preserve"> </w:t>
      </w:r>
      <w:r w:rsidR="00E0741B" w:rsidRPr="003924E0">
        <w:rPr>
          <w:rFonts w:ascii="Times New Roman" w:hAnsi="Times New Roman"/>
          <w:sz w:val="26"/>
          <w:szCs w:val="26"/>
        </w:rPr>
        <w:t>както и промяна</w:t>
      </w:r>
      <w:r w:rsidR="00E0741B" w:rsidRPr="003924E0">
        <w:rPr>
          <w:rFonts w:ascii="Times New Roman" w:hAnsi="Times New Roman"/>
          <w:b/>
          <w:sz w:val="26"/>
          <w:szCs w:val="26"/>
        </w:rPr>
        <w:t xml:space="preserve"> </w:t>
      </w:r>
      <w:r w:rsidR="005303AB" w:rsidRPr="003924E0">
        <w:rPr>
          <w:rFonts w:ascii="Times New Roman" w:hAnsi="Times New Roman"/>
          <w:b/>
          <w:sz w:val="26"/>
          <w:szCs w:val="26"/>
        </w:rPr>
        <w:t>на</w:t>
      </w:r>
      <w:r w:rsidR="00DE4369" w:rsidRPr="003924E0">
        <w:rPr>
          <w:rFonts w:ascii="Times New Roman" w:hAnsi="Times New Roman"/>
          <w:b/>
          <w:sz w:val="26"/>
          <w:szCs w:val="26"/>
        </w:rPr>
        <w:t xml:space="preserve"> ограничението за</w:t>
      </w:r>
      <w:r w:rsidR="005303AB" w:rsidRPr="003924E0">
        <w:rPr>
          <w:rFonts w:ascii="Times New Roman" w:hAnsi="Times New Roman"/>
          <w:b/>
          <w:sz w:val="26"/>
          <w:szCs w:val="26"/>
        </w:rPr>
        <w:t xml:space="preserve"> максимал</w:t>
      </w:r>
      <w:r w:rsidR="00DE4369" w:rsidRPr="003924E0">
        <w:rPr>
          <w:rFonts w:ascii="Times New Roman" w:hAnsi="Times New Roman"/>
          <w:b/>
          <w:sz w:val="26"/>
          <w:szCs w:val="26"/>
        </w:rPr>
        <w:t>е</w:t>
      </w:r>
      <w:r w:rsidR="005303AB" w:rsidRPr="003924E0">
        <w:rPr>
          <w:rFonts w:ascii="Times New Roman" w:hAnsi="Times New Roman"/>
          <w:b/>
          <w:sz w:val="26"/>
          <w:szCs w:val="26"/>
        </w:rPr>
        <w:t>н размер на държавния дълг към края на 2022 г. от 35,5 млрд. лв. на 38,5 млрд. лв.</w:t>
      </w:r>
    </w:p>
    <w:p w:rsidR="00F7226F" w:rsidRPr="00F7226F" w:rsidRDefault="00F7226F" w:rsidP="00F7226F">
      <w:pPr>
        <w:spacing w:line="240" w:lineRule="auto"/>
        <w:ind w:firstLine="0"/>
        <w:rPr>
          <w:rFonts w:ascii="Times New Roman" w:hAnsi="Times New Roman"/>
          <w:b/>
          <w:i/>
          <w:sz w:val="26"/>
          <w:szCs w:val="26"/>
          <w:u w:val="single"/>
        </w:rPr>
      </w:pPr>
      <w:r w:rsidRPr="00F7226F">
        <w:rPr>
          <w:rFonts w:ascii="Times New Roman" w:hAnsi="Times New Roman"/>
          <w:b/>
          <w:i/>
          <w:sz w:val="26"/>
          <w:szCs w:val="26"/>
          <w:u w:val="single"/>
        </w:rPr>
        <w:t xml:space="preserve">Мерки, свързани с гарантиране на енергийната сигурност на страната </w:t>
      </w:r>
    </w:p>
    <w:p w:rsidR="00F7226F" w:rsidRPr="00F7226F" w:rsidRDefault="00F7226F" w:rsidP="00F7226F">
      <w:pPr>
        <w:spacing w:line="240" w:lineRule="auto"/>
        <w:ind w:firstLine="0"/>
        <w:rPr>
          <w:rFonts w:ascii="Times New Roman" w:hAnsi="Times New Roman"/>
          <w:sz w:val="26"/>
          <w:szCs w:val="26"/>
        </w:rPr>
      </w:pPr>
      <w:r w:rsidRPr="00F7226F">
        <w:rPr>
          <w:rFonts w:ascii="Times New Roman" w:hAnsi="Times New Roman"/>
          <w:sz w:val="26"/>
          <w:szCs w:val="26"/>
        </w:rPr>
        <w:t xml:space="preserve">Предвид динамичната геополитическа обстановка и потенциалните промени при обезпечаване на доставките на газ </w:t>
      </w:r>
      <w:r w:rsidR="00AC54F0" w:rsidRPr="00AC54F0">
        <w:rPr>
          <w:rFonts w:ascii="Times New Roman" w:hAnsi="Times New Roman"/>
          <w:sz w:val="26"/>
          <w:szCs w:val="26"/>
        </w:rPr>
        <w:t>със свои писма</w:t>
      </w:r>
      <w:r w:rsidR="00AC54F0" w:rsidRPr="00AC54F0">
        <w:rPr>
          <w:rFonts w:ascii="Times New Roman" w:hAnsi="Times New Roman"/>
          <w:sz w:val="26"/>
          <w:szCs w:val="26"/>
          <w:vertAlign w:val="superscript"/>
        </w:rPr>
        <w:footnoteReference w:id="1"/>
      </w:r>
      <w:r w:rsidR="00AC54F0">
        <w:rPr>
          <w:rFonts w:ascii="Times New Roman" w:hAnsi="Times New Roman"/>
          <w:sz w:val="26"/>
          <w:szCs w:val="26"/>
        </w:rPr>
        <w:t xml:space="preserve"> </w:t>
      </w:r>
      <w:r w:rsidRPr="00F7226F">
        <w:rPr>
          <w:rFonts w:ascii="Times New Roman" w:hAnsi="Times New Roman"/>
          <w:sz w:val="26"/>
          <w:szCs w:val="26"/>
        </w:rPr>
        <w:t xml:space="preserve">Министерството на енергетиката очертава необходимостта от предвиждане на възможност за използване на заемен ресурс с държавна гаранция в актуализацията на държавния бюджет на Република България за </w:t>
      </w:r>
      <w:r w:rsidRPr="00F7226F">
        <w:rPr>
          <w:rFonts w:ascii="Times New Roman" w:hAnsi="Times New Roman"/>
          <w:sz w:val="26"/>
          <w:szCs w:val="26"/>
        </w:rPr>
        <w:lastRenderedPageBreak/>
        <w:t>2022</w:t>
      </w:r>
      <w:r w:rsidR="00AC54F0">
        <w:rPr>
          <w:rFonts w:ascii="Times New Roman" w:hAnsi="Times New Roman"/>
          <w:sz w:val="26"/>
          <w:szCs w:val="26"/>
        </w:rPr>
        <w:t> </w:t>
      </w:r>
      <w:r w:rsidRPr="00F7226F">
        <w:rPr>
          <w:rFonts w:ascii="Times New Roman" w:hAnsi="Times New Roman"/>
          <w:sz w:val="26"/>
          <w:szCs w:val="26"/>
        </w:rPr>
        <w:t xml:space="preserve">г. за две дружества от системата на енергетиката в общ размер на 532 млн. евро. Заявеното заемно финансиране за Булгаргаз ЕАД е в размер на 150 млн. евро, </w:t>
      </w:r>
      <w:r w:rsidR="00AC54F0" w:rsidRPr="00E613C1">
        <w:rPr>
          <w:rFonts w:ascii="Times New Roman" w:hAnsi="Times New Roman"/>
          <w:sz w:val="26"/>
          <w:szCs w:val="26"/>
        </w:rPr>
        <w:t xml:space="preserve">а за </w:t>
      </w:r>
      <w:proofErr w:type="spellStart"/>
      <w:r w:rsidR="00AC54F0" w:rsidRPr="00E613C1">
        <w:rPr>
          <w:rFonts w:ascii="Times New Roman" w:hAnsi="Times New Roman"/>
          <w:sz w:val="26"/>
          <w:szCs w:val="26"/>
        </w:rPr>
        <w:t>Булгартрансгаз</w:t>
      </w:r>
      <w:proofErr w:type="spellEnd"/>
      <w:r w:rsidR="00AC54F0" w:rsidRPr="00E613C1">
        <w:rPr>
          <w:rFonts w:ascii="Times New Roman" w:hAnsi="Times New Roman"/>
          <w:sz w:val="26"/>
          <w:szCs w:val="26"/>
        </w:rPr>
        <w:t xml:space="preserve"> ЕАД</w:t>
      </w:r>
      <w:r w:rsidR="00AC54F0">
        <w:rPr>
          <w:rStyle w:val="FootnoteReference"/>
          <w:rFonts w:ascii="Times New Roman" w:hAnsi="Times New Roman"/>
          <w:sz w:val="26"/>
          <w:szCs w:val="26"/>
        </w:rPr>
        <w:footnoteReference w:id="2"/>
      </w:r>
      <w:r w:rsidRPr="00F7226F">
        <w:rPr>
          <w:rFonts w:ascii="Times New Roman" w:hAnsi="Times New Roman"/>
          <w:sz w:val="26"/>
          <w:szCs w:val="26"/>
        </w:rPr>
        <w:t xml:space="preserve">  е съответно в размер на 382 млн. евро по три проекта. </w:t>
      </w:r>
    </w:p>
    <w:p w:rsidR="00F7226F" w:rsidRPr="00F7226F" w:rsidRDefault="00F7226F" w:rsidP="00F7226F">
      <w:pPr>
        <w:spacing w:line="240" w:lineRule="auto"/>
        <w:ind w:firstLine="0"/>
        <w:rPr>
          <w:rFonts w:ascii="Times New Roman" w:hAnsi="Times New Roman"/>
          <w:sz w:val="26"/>
          <w:szCs w:val="26"/>
        </w:rPr>
      </w:pPr>
      <w:r w:rsidRPr="00F7226F">
        <w:rPr>
          <w:rFonts w:ascii="Times New Roman" w:hAnsi="Times New Roman"/>
          <w:i/>
          <w:sz w:val="26"/>
          <w:szCs w:val="26"/>
        </w:rPr>
        <w:t>Финансиране за Булгаргаз ЕАД</w:t>
      </w:r>
      <w:r w:rsidRPr="00F7226F">
        <w:rPr>
          <w:rFonts w:ascii="Times New Roman" w:hAnsi="Times New Roman"/>
          <w:b/>
          <w:sz w:val="26"/>
          <w:szCs w:val="26"/>
        </w:rPr>
        <w:t xml:space="preserve"> - </w:t>
      </w:r>
      <w:r w:rsidRPr="00F7226F">
        <w:rPr>
          <w:rFonts w:ascii="Times New Roman" w:hAnsi="Times New Roman"/>
          <w:sz w:val="26"/>
          <w:szCs w:val="26"/>
        </w:rPr>
        <w:t>Размерът на исканото заем</w:t>
      </w:r>
      <w:r w:rsidR="00AC54F0">
        <w:rPr>
          <w:rFonts w:ascii="Times New Roman" w:hAnsi="Times New Roman"/>
          <w:sz w:val="26"/>
          <w:szCs w:val="26"/>
        </w:rPr>
        <w:t>но финансиране от Булгаргаз ЕАД възлиза на 150 млн. евро</w:t>
      </w:r>
      <w:r w:rsidRPr="00F7226F">
        <w:rPr>
          <w:rFonts w:ascii="Times New Roman" w:hAnsi="Times New Roman"/>
          <w:sz w:val="26"/>
          <w:szCs w:val="26"/>
        </w:rPr>
        <w:t xml:space="preserve"> във връзка с преустановените доставки на природен газ от основния доставчик на дружеството и необходимостта от спешно осигуряване на алтернативни доставки с цел гарантиране на непрекъснатостта на доставките на газ за страната. В информацията от Министерството на енергетиката се посочва като кредитор Европейската банка за възстановяване и развитие.</w:t>
      </w:r>
    </w:p>
    <w:p w:rsidR="00F7226F" w:rsidRPr="00F7226F" w:rsidRDefault="00F7226F" w:rsidP="00F7226F">
      <w:pPr>
        <w:spacing w:line="240" w:lineRule="auto"/>
        <w:ind w:firstLine="0"/>
        <w:rPr>
          <w:rFonts w:ascii="Times New Roman" w:hAnsi="Times New Roman"/>
          <w:i/>
          <w:sz w:val="26"/>
          <w:szCs w:val="26"/>
        </w:rPr>
      </w:pPr>
      <w:r w:rsidRPr="00F7226F">
        <w:rPr>
          <w:rFonts w:ascii="Times New Roman" w:hAnsi="Times New Roman"/>
          <w:i/>
          <w:sz w:val="26"/>
          <w:szCs w:val="26"/>
        </w:rPr>
        <w:t xml:space="preserve">Проекти на </w:t>
      </w:r>
      <w:proofErr w:type="spellStart"/>
      <w:r w:rsidRPr="00F7226F">
        <w:rPr>
          <w:rFonts w:ascii="Times New Roman" w:hAnsi="Times New Roman"/>
          <w:i/>
          <w:sz w:val="26"/>
          <w:szCs w:val="26"/>
        </w:rPr>
        <w:t>Булгартрансгаз</w:t>
      </w:r>
      <w:proofErr w:type="spellEnd"/>
      <w:r w:rsidRPr="00F7226F">
        <w:rPr>
          <w:rFonts w:ascii="Times New Roman" w:hAnsi="Times New Roman"/>
          <w:i/>
          <w:sz w:val="26"/>
          <w:szCs w:val="26"/>
        </w:rPr>
        <w:t xml:space="preserve"> ЕАД:</w:t>
      </w:r>
    </w:p>
    <w:p w:rsidR="00F7226F" w:rsidRPr="00F7226F" w:rsidRDefault="00F7226F" w:rsidP="00F7226F">
      <w:pPr>
        <w:spacing w:line="240" w:lineRule="auto"/>
        <w:ind w:firstLine="0"/>
        <w:rPr>
          <w:rFonts w:ascii="Times New Roman" w:hAnsi="Times New Roman"/>
          <w:sz w:val="26"/>
          <w:szCs w:val="26"/>
        </w:rPr>
      </w:pPr>
      <w:r w:rsidRPr="00F7226F">
        <w:rPr>
          <w:rFonts w:ascii="Times New Roman" w:hAnsi="Times New Roman"/>
          <w:sz w:val="26"/>
          <w:szCs w:val="26"/>
        </w:rPr>
        <w:t>•</w:t>
      </w:r>
      <w:r w:rsidRPr="00F7226F">
        <w:rPr>
          <w:rFonts w:ascii="Times New Roman" w:hAnsi="Times New Roman"/>
          <w:sz w:val="26"/>
          <w:szCs w:val="26"/>
        </w:rPr>
        <w:tab/>
        <w:t xml:space="preserve">Проектът от общ интерес за Европейския съюз 6.20.2. Разширение на капацитета на ПГХ „Чирен“ е на обща стойност от 285,5 млн. евро и включва изграждане на надземни съоръжения, изпълнение на сондажи и изграждане на нова газопроводна връзка със съществуващата газопреносна инфраструктура и прилежащите му технологични съоръжения. С проекта за Разширение на хранилището се цели да бъдат създадени условия за гарантиране на сигурността на доставките до българските потребители и потребителите от страните от региона. Проектът е в напреднал етап на развитие, като са обявени обществени поръчки за избор на изпълнители на строително-монтажните дейности за надземната част и изпълнението на сондажи. Обектът е част от подадено проектно предложение за финансиране по програма Механизъм за свързване на Европа, за което има постигнато съгласие за съфинансиране в размер на 78 млн. евро. За останалата част от 207,6 млн. евро е необходимо да се осигури заемно финансиране с държавна гаранция. Съгласно информацията, получена от </w:t>
      </w:r>
      <w:proofErr w:type="spellStart"/>
      <w:r w:rsidRPr="00F7226F">
        <w:rPr>
          <w:rFonts w:ascii="Times New Roman" w:hAnsi="Times New Roman"/>
          <w:sz w:val="26"/>
          <w:szCs w:val="26"/>
        </w:rPr>
        <w:t>Булгартрансгаз</w:t>
      </w:r>
      <w:proofErr w:type="spellEnd"/>
      <w:r w:rsidRPr="00F7226F">
        <w:rPr>
          <w:rFonts w:ascii="Times New Roman" w:hAnsi="Times New Roman"/>
          <w:sz w:val="26"/>
          <w:szCs w:val="26"/>
        </w:rPr>
        <w:t xml:space="preserve"> ЕАД като потенциален кредитор е посочена Европейската банка за възстановяване и развитие, която е изразила готовност за финансиране на проекта. Банката има одобрена линия за финансиране на дружества, които пряко или косвено са засегнати от конфликта в Украйна, като наличието на държавна гаранция е единственото задължително условие за отпускане на финансиране при следните индикативни условия: годишен лихвен процент в размер на 6-месечен EURIBOR + 1%; срок на заема – между 5 г. и 7 г. с 2-годишен гратисен период; отпускане на кредита може да бъде осъществено в рамките на 3-5 месеца от започване на процеса по одобрение от банката на кредита.</w:t>
      </w:r>
    </w:p>
    <w:p w:rsidR="00AC54F0" w:rsidRPr="00E613C1" w:rsidRDefault="00F7226F" w:rsidP="00AC54F0">
      <w:pPr>
        <w:spacing w:line="240" w:lineRule="auto"/>
        <w:ind w:firstLine="0"/>
        <w:rPr>
          <w:rFonts w:ascii="Times New Roman" w:hAnsi="Times New Roman"/>
          <w:sz w:val="26"/>
          <w:szCs w:val="26"/>
        </w:rPr>
      </w:pPr>
      <w:r w:rsidRPr="00F7226F">
        <w:rPr>
          <w:rFonts w:ascii="Times New Roman" w:hAnsi="Times New Roman"/>
          <w:sz w:val="26"/>
          <w:szCs w:val="26"/>
        </w:rPr>
        <w:t>•</w:t>
      </w:r>
      <w:r w:rsidRPr="00F7226F">
        <w:rPr>
          <w:rFonts w:ascii="Times New Roman" w:hAnsi="Times New Roman"/>
          <w:sz w:val="26"/>
          <w:szCs w:val="26"/>
        </w:rPr>
        <w:tab/>
      </w:r>
      <w:r w:rsidR="00AC54F0">
        <w:rPr>
          <w:rFonts w:ascii="Times New Roman" w:hAnsi="Times New Roman"/>
          <w:sz w:val="26"/>
          <w:szCs w:val="26"/>
        </w:rPr>
        <w:t xml:space="preserve">Необходимите инвестиции за цялостното изграждане на трасето на българска територия по </w:t>
      </w:r>
      <w:r w:rsidR="00AC54F0" w:rsidRPr="00E613C1">
        <w:rPr>
          <w:rFonts w:ascii="Times New Roman" w:hAnsi="Times New Roman"/>
          <w:sz w:val="26"/>
          <w:szCs w:val="26"/>
        </w:rPr>
        <w:t>Проект</w:t>
      </w:r>
      <w:r w:rsidR="00AC54F0">
        <w:rPr>
          <w:rFonts w:ascii="Times New Roman" w:hAnsi="Times New Roman"/>
          <w:sz w:val="26"/>
          <w:szCs w:val="26"/>
        </w:rPr>
        <w:t>а</w:t>
      </w:r>
      <w:r w:rsidR="00AC54F0" w:rsidRPr="00E613C1">
        <w:rPr>
          <w:rFonts w:ascii="Times New Roman" w:hAnsi="Times New Roman"/>
          <w:sz w:val="26"/>
          <w:szCs w:val="26"/>
        </w:rPr>
        <w:t xml:space="preserve"> от общ интерес 6.8.3. </w:t>
      </w:r>
      <w:proofErr w:type="spellStart"/>
      <w:r w:rsidR="00AC54F0" w:rsidRPr="00E613C1">
        <w:rPr>
          <w:rFonts w:ascii="Times New Roman" w:hAnsi="Times New Roman"/>
          <w:sz w:val="26"/>
          <w:szCs w:val="26"/>
        </w:rPr>
        <w:t>Междусистемна</w:t>
      </w:r>
      <w:proofErr w:type="spellEnd"/>
      <w:r w:rsidR="00AC54F0" w:rsidRPr="00E613C1">
        <w:rPr>
          <w:rFonts w:ascii="Times New Roman" w:hAnsi="Times New Roman"/>
          <w:sz w:val="26"/>
          <w:szCs w:val="26"/>
        </w:rPr>
        <w:t xml:space="preserve"> </w:t>
      </w:r>
      <w:proofErr w:type="spellStart"/>
      <w:r w:rsidR="00AC54F0" w:rsidRPr="00E613C1">
        <w:rPr>
          <w:rFonts w:ascii="Times New Roman" w:hAnsi="Times New Roman"/>
          <w:sz w:val="26"/>
          <w:szCs w:val="26"/>
        </w:rPr>
        <w:t>реверсивна</w:t>
      </w:r>
      <w:proofErr w:type="spellEnd"/>
      <w:r w:rsidR="00AC54F0" w:rsidRPr="00E613C1">
        <w:rPr>
          <w:rFonts w:ascii="Times New Roman" w:hAnsi="Times New Roman"/>
          <w:sz w:val="26"/>
          <w:szCs w:val="26"/>
        </w:rPr>
        <w:t xml:space="preserve"> газова връзка България – Сърбия </w:t>
      </w:r>
      <w:r w:rsidR="00AC54F0">
        <w:rPr>
          <w:rFonts w:ascii="Times New Roman" w:hAnsi="Times New Roman"/>
          <w:sz w:val="26"/>
          <w:szCs w:val="26"/>
        </w:rPr>
        <w:t>са</w:t>
      </w:r>
      <w:r w:rsidR="00AC54F0" w:rsidRPr="00E613C1">
        <w:rPr>
          <w:rFonts w:ascii="Times New Roman" w:hAnsi="Times New Roman"/>
          <w:sz w:val="26"/>
          <w:szCs w:val="26"/>
        </w:rPr>
        <w:t xml:space="preserve"> на обща стойност от </w:t>
      </w:r>
      <w:r w:rsidR="00AC54F0">
        <w:rPr>
          <w:rFonts w:ascii="Times New Roman" w:hAnsi="Times New Roman"/>
          <w:sz w:val="26"/>
          <w:szCs w:val="26"/>
        </w:rPr>
        <w:t>81</w:t>
      </w:r>
      <w:r w:rsidR="00AC54F0" w:rsidRPr="00E613C1">
        <w:rPr>
          <w:rFonts w:ascii="Times New Roman" w:hAnsi="Times New Roman"/>
          <w:sz w:val="26"/>
          <w:szCs w:val="26"/>
        </w:rPr>
        <w:t xml:space="preserve"> млн. евро. </w:t>
      </w:r>
      <w:r w:rsidR="00AC54F0">
        <w:rPr>
          <w:rFonts w:ascii="Times New Roman" w:hAnsi="Times New Roman"/>
          <w:sz w:val="26"/>
          <w:szCs w:val="26"/>
        </w:rPr>
        <w:t xml:space="preserve">До момента са извършени разходи за </w:t>
      </w:r>
      <w:proofErr w:type="spellStart"/>
      <w:r w:rsidR="00AC54F0">
        <w:rPr>
          <w:rFonts w:ascii="Times New Roman" w:hAnsi="Times New Roman"/>
          <w:sz w:val="26"/>
          <w:szCs w:val="26"/>
        </w:rPr>
        <w:t>прединвестиционни</w:t>
      </w:r>
      <w:proofErr w:type="spellEnd"/>
      <w:r w:rsidR="00AC54F0">
        <w:rPr>
          <w:rFonts w:ascii="Times New Roman" w:hAnsi="Times New Roman"/>
          <w:sz w:val="26"/>
          <w:szCs w:val="26"/>
        </w:rPr>
        <w:t xml:space="preserve"> дейности в размер на 4,3 млн. евро и е о</w:t>
      </w:r>
      <w:r w:rsidR="00AC54F0" w:rsidRPr="00E613C1">
        <w:rPr>
          <w:rFonts w:ascii="Times New Roman" w:hAnsi="Times New Roman"/>
          <w:sz w:val="26"/>
          <w:szCs w:val="26"/>
        </w:rPr>
        <w:t>сигурена безвъзмездна финансова помощ в размер на 27,6 млн. евро</w:t>
      </w:r>
      <w:r w:rsidR="00AC54F0">
        <w:rPr>
          <w:rFonts w:ascii="Times New Roman" w:hAnsi="Times New Roman"/>
          <w:sz w:val="26"/>
          <w:szCs w:val="26"/>
        </w:rPr>
        <w:t>.</w:t>
      </w:r>
      <w:r w:rsidR="00AC54F0" w:rsidRPr="00E613C1">
        <w:rPr>
          <w:rFonts w:ascii="Times New Roman" w:hAnsi="Times New Roman"/>
          <w:sz w:val="26"/>
          <w:szCs w:val="26"/>
        </w:rPr>
        <w:t xml:space="preserve"> </w:t>
      </w:r>
      <w:r w:rsidR="00AC54F0">
        <w:rPr>
          <w:rFonts w:ascii="Times New Roman" w:hAnsi="Times New Roman"/>
          <w:sz w:val="26"/>
          <w:szCs w:val="26"/>
        </w:rPr>
        <w:t>Н</w:t>
      </w:r>
      <w:r w:rsidR="00AC54F0" w:rsidRPr="00E613C1">
        <w:rPr>
          <w:rFonts w:ascii="Times New Roman" w:hAnsi="Times New Roman"/>
          <w:sz w:val="26"/>
          <w:szCs w:val="26"/>
        </w:rPr>
        <w:t>еобходимо</w:t>
      </w:r>
      <w:r w:rsidR="00AC54F0">
        <w:rPr>
          <w:rFonts w:ascii="Times New Roman" w:hAnsi="Times New Roman"/>
          <w:sz w:val="26"/>
          <w:szCs w:val="26"/>
        </w:rPr>
        <w:t xml:space="preserve"> е</w:t>
      </w:r>
      <w:r w:rsidR="00AC54F0" w:rsidRPr="00E613C1">
        <w:rPr>
          <w:rFonts w:ascii="Times New Roman" w:hAnsi="Times New Roman"/>
          <w:sz w:val="26"/>
          <w:szCs w:val="26"/>
        </w:rPr>
        <w:t xml:space="preserve"> да се обезпечи допълнително заемно финансиране с държавна гаранция за цялостната реализация на проекта в размер на 49,1 млн. евро. С постигането на взаимно свързване със сръбската система се очаква Република България да получи достъп до газопреносната система на Унгария и чрез нея до мрежите на страните от Централна и Западна Европа, като по този начин ще разполага с един допълнителен източник за доставка на природен газ от Западна Европа.</w:t>
      </w:r>
    </w:p>
    <w:p w:rsidR="00F7226F" w:rsidRPr="00F7226F" w:rsidRDefault="00F7226F" w:rsidP="00F7226F">
      <w:pPr>
        <w:spacing w:line="240" w:lineRule="auto"/>
        <w:ind w:firstLine="0"/>
        <w:rPr>
          <w:rFonts w:ascii="Times New Roman" w:hAnsi="Times New Roman"/>
          <w:sz w:val="26"/>
          <w:szCs w:val="26"/>
        </w:rPr>
      </w:pPr>
      <w:r w:rsidRPr="00F7226F">
        <w:rPr>
          <w:rFonts w:ascii="Times New Roman" w:hAnsi="Times New Roman"/>
          <w:sz w:val="26"/>
          <w:szCs w:val="26"/>
        </w:rPr>
        <w:lastRenderedPageBreak/>
        <w:t>•</w:t>
      </w:r>
      <w:r w:rsidRPr="00F7226F">
        <w:rPr>
          <w:rFonts w:ascii="Times New Roman" w:hAnsi="Times New Roman"/>
          <w:sz w:val="26"/>
          <w:szCs w:val="26"/>
        </w:rPr>
        <w:tab/>
        <w:t>Финансирането, свързано със задължения на „</w:t>
      </w:r>
      <w:proofErr w:type="spellStart"/>
      <w:r w:rsidRPr="00F7226F">
        <w:rPr>
          <w:rFonts w:ascii="Times New Roman" w:hAnsi="Times New Roman"/>
          <w:sz w:val="26"/>
          <w:szCs w:val="26"/>
        </w:rPr>
        <w:t>Булгартрансгаз</w:t>
      </w:r>
      <w:proofErr w:type="spellEnd"/>
      <w:r w:rsidRPr="00F7226F">
        <w:rPr>
          <w:rFonts w:ascii="Times New Roman" w:hAnsi="Times New Roman"/>
          <w:sz w:val="26"/>
          <w:szCs w:val="26"/>
        </w:rPr>
        <w:t>“ ЕАД във връзка с Законодателно предложение на ЕК за изменение на Регламент (ЕС) 2017/1938 относно мерките за гарантиране на сигурността на доставките на газ, както и на Регламент (ЕО) № 715/2009 относно условията за достъп до газопреносни мрежи за природен газ, публикувано на 23 март 2022 г. възлиза на 125,3 млн. евро. Съгласно Регламента държавите-членки са задължени да предприемат всички необходими мерки, включително финансови стимули или компенсации, за да гарантират постигане на задължителните целеви нива за запълване на газохранилищата и за поддържане на стратегически запас (80% за 2022 г. и 90% след 2022 г.). В тази връзка, „</w:t>
      </w:r>
      <w:proofErr w:type="spellStart"/>
      <w:r w:rsidRPr="00F7226F">
        <w:rPr>
          <w:rFonts w:ascii="Times New Roman" w:hAnsi="Times New Roman"/>
          <w:sz w:val="26"/>
          <w:szCs w:val="26"/>
        </w:rPr>
        <w:t>Булгартрансгаз</w:t>
      </w:r>
      <w:proofErr w:type="spellEnd"/>
      <w:r w:rsidRPr="00F7226F">
        <w:rPr>
          <w:rFonts w:ascii="Times New Roman" w:hAnsi="Times New Roman"/>
          <w:sz w:val="26"/>
          <w:szCs w:val="26"/>
        </w:rPr>
        <w:t>“ ЕАД се нуждае от държавна подкрепа, чрез издаване на държавна гаранция за осигуряването на банково финансиране за закупуване на природен газ за поддържане на стратегически запас в посочения размер.</w:t>
      </w:r>
    </w:p>
    <w:p w:rsidR="00F7226F" w:rsidRPr="00F7226F" w:rsidRDefault="00F7226F" w:rsidP="00F7226F">
      <w:pPr>
        <w:spacing w:line="240" w:lineRule="auto"/>
        <w:ind w:firstLine="0"/>
        <w:rPr>
          <w:rFonts w:ascii="Times New Roman" w:hAnsi="Times New Roman"/>
          <w:sz w:val="26"/>
          <w:szCs w:val="26"/>
        </w:rPr>
      </w:pPr>
      <w:r w:rsidRPr="00F7226F">
        <w:rPr>
          <w:rFonts w:ascii="Times New Roman" w:hAnsi="Times New Roman"/>
          <w:sz w:val="26"/>
          <w:szCs w:val="26"/>
        </w:rPr>
        <w:t>От предоставената информация е видн</w:t>
      </w:r>
      <w:r w:rsidR="00D61C40">
        <w:rPr>
          <w:rFonts w:ascii="Times New Roman" w:hAnsi="Times New Roman"/>
          <w:sz w:val="26"/>
          <w:szCs w:val="26"/>
        </w:rPr>
        <w:t xml:space="preserve">о, че </w:t>
      </w:r>
      <w:r w:rsidRPr="00F7226F">
        <w:rPr>
          <w:rFonts w:ascii="Times New Roman" w:hAnsi="Times New Roman"/>
          <w:sz w:val="26"/>
          <w:szCs w:val="26"/>
        </w:rPr>
        <w:t>част от необходимото финансиране е предназначено за изпълнението на инвестиционни проекти. Съществува нормативно определен ред и условия за одобряване, респ. включване в разпоредбите на годишните ЗДБРБ на одобрените от МС проекти за финансиране с държавна гаранция през съответната година. На основание на чл. 5, ал. 3 и чл. 22 от Закона за държавния дълг с Постановление № 337 на Министерския съвет от 2015 г. е издадена Наредба за условията, на които трябва да отговарят инвестиционните проекти, финансирани с държавни заеми, и проектите, кандидатстващи за финансиране с държавна гаранция, и за реда за тяхното разглеждане (ДВ, бр. 94 от</w:t>
      </w:r>
      <w:r w:rsidR="00D61C40">
        <w:rPr>
          <w:rFonts w:ascii="Times New Roman" w:hAnsi="Times New Roman"/>
          <w:sz w:val="26"/>
          <w:szCs w:val="26"/>
        </w:rPr>
        <w:t xml:space="preserve"> 2015 г.). В хода на</w:t>
      </w:r>
      <w:r w:rsidRPr="00F7226F">
        <w:rPr>
          <w:rFonts w:ascii="Times New Roman" w:hAnsi="Times New Roman"/>
          <w:sz w:val="26"/>
          <w:szCs w:val="26"/>
        </w:rPr>
        <w:t xml:space="preserve"> процедури</w:t>
      </w:r>
      <w:r w:rsidR="00D61C40">
        <w:rPr>
          <w:rFonts w:ascii="Times New Roman" w:hAnsi="Times New Roman"/>
          <w:sz w:val="26"/>
          <w:szCs w:val="26"/>
        </w:rPr>
        <w:t>те</w:t>
      </w:r>
      <w:r w:rsidRPr="00F7226F">
        <w:rPr>
          <w:rFonts w:ascii="Times New Roman" w:hAnsi="Times New Roman"/>
          <w:sz w:val="26"/>
          <w:szCs w:val="26"/>
        </w:rPr>
        <w:t xml:space="preserve"> за одобряване на нови инвестиционни проекти, при които се предлагат за финансиране с държавни заеми или чрез издаване на държавни гаранции за 2022 г. и за 202</w:t>
      </w:r>
      <w:r w:rsidR="00D61C40">
        <w:rPr>
          <w:rFonts w:ascii="Times New Roman" w:hAnsi="Times New Roman"/>
          <w:sz w:val="26"/>
          <w:szCs w:val="26"/>
        </w:rPr>
        <w:t>3 г. в МФ не са постъпили</w:t>
      </w:r>
      <w:r w:rsidRPr="00F7226F">
        <w:rPr>
          <w:rFonts w:ascii="Times New Roman" w:hAnsi="Times New Roman"/>
          <w:sz w:val="26"/>
          <w:szCs w:val="26"/>
        </w:rPr>
        <w:t xml:space="preserve"> проектни предложения. </w:t>
      </w:r>
    </w:p>
    <w:p w:rsidR="00F7226F" w:rsidRPr="00F7226F" w:rsidRDefault="00F7226F" w:rsidP="00F7226F">
      <w:pPr>
        <w:spacing w:line="240" w:lineRule="auto"/>
        <w:ind w:firstLine="0"/>
        <w:rPr>
          <w:rFonts w:ascii="Times New Roman" w:hAnsi="Times New Roman"/>
          <w:sz w:val="26"/>
          <w:szCs w:val="26"/>
        </w:rPr>
      </w:pPr>
      <w:r w:rsidRPr="00F7226F">
        <w:rPr>
          <w:rFonts w:ascii="Times New Roman" w:hAnsi="Times New Roman"/>
          <w:sz w:val="26"/>
          <w:szCs w:val="26"/>
        </w:rPr>
        <w:t xml:space="preserve">Необичайната енергийна ситуация налага предприемането на мерки в сферата на енергийната сигурност на страната в много кратки срокове, което предпоставя обективна невъзможност за спазването на предвидения за подобни инвестиционни проекти ред и включване на заявените от Министерството на енергетиката проекти в проекта на ЗИД на ЗДБРБ за 2022 г. </w:t>
      </w:r>
    </w:p>
    <w:p w:rsidR="00F7226F" w:rsidRPr="00F7226F" w:rsidRDefault="00F7226F" w:rsidP="00F7226F">
      <w:pPr>
        <w:spacing w:line="240" w:lineRule="auto"/>
        <w:ind w:firstLine="0"/>
        <w:rPr>
          <w:rFonts w:ascii="Times New Roman" w:hAnsi="Times New Roman"/>
          <w:sz w:val="26"/>
          <w:szCs w:val="26"/>
        </w:rPr>
      </w:pPr>
      <w:r w:rsidRPr="00F7226F">
        <w:rPr>
          <w:rFonts w:ascii="Times New Roman" w:hAnsi="Times New Roman"/>
          <w:sz w:val="26"/>
          <w:szCs w:val="26"/>
        </w:rPr>
        <w:t>За обезпечаване възможността разглежданите държавни гаранции да бъдат издадени през 2022 г. се налага създаването на нова разпоредба чл. 70а в ЗДБРБ за 2022 г., съгласно която в рамките на текущата бюджетна година Министерският съвет може да издава държавни гаранции по нови заемни споразумения на „Булгаргаз“ ЕАД в размер до левовата равностойност на 150 млн. евро и  по нови заемни споразумения на „</w:t>
      </w:r>
      <w:proofErr w:type="spellStart"/>
      <w:r w:rsidRPr="00F7226F">
        <w:rPr>
          <w:rFonts w:ascii="Times New Roman" w:hAnsi="Times New Roman"/>
          <w:sz w:val="26"/>
          <w:szCs w:val="26"/>
        </w:rPr>
        <w:t>Булгартрансгаз</w:t>
      </w:r>
      <w:proofErr w:type="spellEnd"/>
      <w:r w:rsidRPr="00F7226F">
        <w:rPr>
          <w:rFonts w:ascii="Times New Roman" w:hAnsi="Times New Roman"/>
          <w:sz w:val="26"/>
          <w:szCs w:val="26"/>
        </w:rPr>
        <w:t xml:space="preserve">“ ЕАД в общ размер до левовата равностойност на 382 млн. евро, при спазване на законодателството в областта на държавните помощи. Посоченото рефлектира и в увеличение на ограничението по чл. 71 от ЗДБРБ за 2022 г. за максимален размер на новите държавни гаранции, които могат да бъдат издадени през годината от 759,6 млн. лв. на 1 800,1 млн. лв. </w:t>
      </w:r>
    </w:p>
    <w:p w:rsidR="002C7198" w:rsidRPr="002C7198" w:rsidRDefault="00F7226F" w:rsidP="00F7226F">
      <w:pPr>
        <w:spacing w:line="240" w:lineRule="auto"/>
        <w:ind w:firstLine="0"/>
        <w:rPr>
          <w:rFonts w:ascii="Times New Roman" w:hAnsi="Times New Roman"/>
          <w:sz w:val="26"/>
          <w:szCs w:val="26"/>
        </w:rPr>
      </w:pPr>
      <w:r w:rsidRPr="00F7226F">
        <w:rPr>
          <w:rFonts w:ascii="Times New Roman" w:hAnsi="Times New Roman"/>
          <w:sz w:val="26"/>
          <w:szCs w:val="26"/>
        </w:rPr>
        <w:t>От гледна точка на влиянието върху размера на държавногарантирания дълг, при допускането за издаване на гаранции по разглежданите проекти и пълно усвояване на средствата от заемите до края на 2022 г., се очаква държавногарантирания д</w:t>
      </w:r>
      <w:r w:rsidR="00E57B75">
        <w:rPr>
          <w:rFonts w:ascii="Times New Roman" w:hAnsi="Times New Roman"/>
          <w:sz w:val="26"/>
          <w:szCs w:val="26"/>
        </w:rPr>
        <w:t>ълг да достигне до ниво от 2 783,5 млн. лв. (при 1 938,9</w:t>
      </w:r>
      <w:r w:rsidRPr="00F7226F">
        <w:rPr>
          <w:rFonts w:ascii="Times New Roman" w:hAnsi="Times New Roman"/>
          <w:sz w:val="26"/>
          <w:szCs w:val="26"/>
        </w:rPr>
        <w:t xml:space="preserve"> млн. лв. през 2021 г.). Показателят „Съотношение на държавногарантирания дълг към БВП“ за 2022 г. се очаква </w:t>
      </w:r>
      <w:r w:rsidR="00E57B75">
        <w:rPr>
          <w:rFonts w:ascii="Times New Roman" w:hAnsi="Times New Roman"/>
          <w:sz w:val="26"/>
          <w:szCs w:val="26"/>
        </w:rPr>
        <w:t>да достигне до 1,8</w:t>
      </w:r>
      <w:r w:rsidRPr="00F7226F">
        <w:rPr>
          <w:rFonts w:ascii="Times New Roman" w:hAnsi="Times New Roman"/>
          <w:sz w:val="26"/>
          <w:szCs w:val="26"/>
        </w:rPr>
        <w:t xml:space="preserve"> % (при 1,5% за 2021 г.). При тези допускания в отраслова структура на гарантирания дълг делът на сектор „Енерг</w:t>
      </w:r>
      <w:r w:rsidR="0063641F">
        <w:rPr>
          <w:rFonts w:ascii="Times New Roman" w:hAnsi="Times New Roman"/>
          <w:sz w:val="26"/>
          <w:szCs w:val="26"/>
        </w:rPr>
        <w:t>етика“ нараства значително до 45,1</w:t>
      </w:r>
      <w:r w:rsidRPr="00F7226F">
        <w:rPr>
          <w:rFonts w:ascii="Times New Roman" w:hAnsi="Times New Roman"/>
          <w:sz w:val="26"/>
          <w:szCs w:val="26"/>
        </w:rPr>
        <w:t xml:space="preserve"> % (при 9,1% към края на 2021 г.). По отношение на въздействието върху държавния бюджет след издаването на държавните </w:t>
      </w:r>
      <w:r w:rsidRPr="00F7226F">
        <w:rPr>
          <w:rFonts w:ascii="Times New Roman" w:hAnsi="Times New Roman"/>
          <w:sz w:val="26"/>
          <w:szCs w:val="26"/>
        </w:rPr>
        <w:lastRenderedPageBreak/>
        <w:t>гаранции ще е необходимо ежегодно в годишните закони за държавния бюджет да се планират средства за покриване на риска от евентуалното им активиране в размер, който обичайно обезпечава плащанията по обслужване на държавногарантираните заеми на годишна база.</w:t>
      </w:r>
    </w:p>
    <w:p w:rsidR="0015762C" w:rsidRPr="00BA4188" w:rsidRDefault="00235BF4" w:rsidP="00C47F1A">
      <w:pPr>
        <w:spacing w:line="240" w:lineRule="auto"/>
        <w:ind w:firstLine="0"/>
        <w:rPr>
          <w:rFonts w:ascii="Times New Roman" w:hAnsi="Times New Roman"/>
          <w:b/>
          <w:i/>
          <w:sz w:val="26"/>
          <w:szCs w:val="26"/>
          <w:u w:val="single"/>
        </w:rPr>
      </w:pPr>
      <w:r w:rsidRPr="00BA4188">
        <w:rPr>
          <w:rFonts w:ascii="Times New Roman" w:hAnsi="Times New Roman"/>
          <w:b/>
          <w:i/>
          <w:sz w:val="26"/>
          <w:szCs w:val="26"/>
          <w:u w:val="single"/>
        </w:rPr>
        <w:t>Други промени, предвидени със ЗИД на ЗДБРБ за 2022 г.</w:t>
      </w:r>
    </w:p>
    <w:p w:rsidR="00235BF4" w:rsidRDefault="00235BF4" w:rsidP="00235BF4">
      <w:pPr>
        <w:spacing w:line="240" w:lineRule="auto"/>
        <w:ind w:firstLine="567"/>
        <w:rPr>
          <w:rFonts w:ascii="Times New Roman" w:hAnsi="Times New Roman"/>
          <w:sz w:val="26"/>
          <w:szCs w:val="26"/>
        </w:rPr>
      </w:pPr>
      <w:r w:rsidRPr="00235BF4">
        <w:rPr>
          <w:rFonts w:ascii="Times New Roman" w:hAnsi="Times New Roman"/>
          <w:sz w:val="26"/>
          <w:szCs w:val="26"/>
        </w:rPr>
        <w:t>-</w:t>
      </w:r>
      <w:r w:rsidRPr="00235BF4">
        <w:rPr>
          <w:rFonts w:ascii="Times New Roman" w:hAnsi="Times New Roman"/>
          <w:sz w:val="26"/>
          <w:szCs w:val="26"/>
        </w:rPr>
        <w:tab/>
      </w:r>
      <w:r>
        <w:rPr>
          <w:rFonts w:ascii="Times New Roman" w:hAnsi="Times New Roman"/>
          <w:sz w:val="26"/>
          <w:szCs w:val="26"/>
        </w:rPr>
        <w:t>п</w:t>
      </w:r>
      <w:r w:rsidRPr="00235BF4">
        <w:rPr>
          <w:rFonts w:ascii="Times New Roman" w:hAnsi="Times New Roman"/>
          <w:sz w:val="26"/>
          <w:szCs w:val="26"/>
        </w:rPr>
        <w:t>редложена е промяна в ал. 2 на чл. 77 от ЗДБРБ за 2022 г., като редакцията произтича от необходимостта от извършване на дейности по линия на военните действия в Украйна, както и във връзка с продължаващия през 2022 г. засилен миграционен натиск по държавните граници (основно с Република Турция) и необходимостта от прилагане на допълнителни мерки за повишаване ефективността на осъществяваното наблюдение и охрана на границата за своевременното предотвратяване, пресичане и разкриване на престъпления, свързани с незаконна миграция и трафик на хора.</w:t>
      </w:r>
    </w:p>
    <w:p w:rsidR="004C2349" w:rsidRDefault="004C2349" w:rsidP="004C2349">
      <w:pPr>
        <w:spacing w:line="240" w:lineRule="auto"/>
        <w:ind w:firstLine="567"/>
        <w:rPr>
          <w:rFonts w:ascii="Times New Roman" w:hAnsi="Times New Roman"/>
          <w:sz w:val="26"/>
          <w:szCs w:val="26"/>
        </w:rPr>
      </w:pPr>
      <w:r w:rsidRPr="00235BF4">
        <w:rPr>
          <w:rFonts w:ascii="Times New Roman" w:hAnsi="Times New Roman"/>
          <w:sz w:val="26"/>
          <w:szCs w:val="26"/>
        </w:rPr>
        <w:t>-</w:t>
      </w:r>
      <w:r w:rsidRPr="00235BF4">
        <w:rPr>
          <w:rFonts w:ascii="Times New Roman" w:hAnsi="Times New Roman"/>
          <w:sz w:val="26"/>
          <w:szCs w:val="26"/>
        </w:rPr>
        <w:tab/>
      </w:r>
      <w:r>
        <w:rPr>
          <w:rFonts w:ascii="Times New Roman" w:hAnsi="Times New Roman"/>
          <w:sz w:val="26"/>
          <w:szCs w:val="26"/>
        </w:rPr>
        <w:t>с</w:t>
      </w:r>
      <w:r w:rsidRPr="00235BF4">
        <w:rPr>
          <w:rFonts w:ascii="Times New Roman" w:hAnsi="Times New Roman"/>
          <w:sz w:val="26"/>
          <w:szCs w:val="26"/>
        </w:rPr>
        <w:t xml:space="preserve"> направеното предложение за създаване на нов член 77а в ЗДБРБ за 2022 г. се регламентират сроковете за извършване на промени по бюджетите на първостепенните разпоредители с бюджет (ПРБ). С оглед осигуряване на съпоставимост на сроковете за извършване на промени по бюджетите на ПРБ със сроковете по годишното счетоводно приключване се предлага промените по чл. 110, 112 и 113 от З</w:t>
      </w:r>
      <w:r w:rsidR="00DE4369">
        <w:rPr>
          <w:rFonts w:ascii="Times New Roman" w:hAnsi="Times New Roman"/>
          <w:sz w:val="26"/>
          <w:szCs w:val="26"/>
        </w:rPr>
        <w:t>ПФ</w:t>
      </w:r>
      <w:r w:rsidRPr="00235BF4">
        <w:rPr>
          <w:rFonts w:ascii="Times New Roman" w:hAnsi="Times New Roman"/>
          <w:sz w:val="26"/>
          <w:szCs w:val="26"/>
        </w:rPr>
        <w:t xml:space="preserve"> да могат да се извършват до края на месец февруари 2023 г.</w:t>
      </w:r>
    </w:p>
    <w:p w:rsidR="004C2349" w:rsidRPr="00235BF4" w:rsidRDefault="004C2349" w:rsidP="004C2349">
      <w:pPr>
        <w:spacing w:line="240" w:lineRule="auto"/>
        <w:ind w:firstLine="567"/>
        <w:rPr>
          <w:rFonts w:ascii="Times New Roman" w:hAnsi="Times New Roman"/>
          <w:sz w:val="26"/>
          <w:szCs w:val="26"/>
        </w:rPr>
      </w:pPr>
      <w:r w:rsidRPr="00235BF4">
        <w:rPr>
          <w:rFonts w:ascii="Times New Roman" w:hAnsi="Times New Roman"/>
          <w:sz w:val="26"/>
          <w:szCs w:val="26"/>
        </w:rPr>
        <w:t>-</w:t>
      </w:r>
      <w:r w:rsidRPr="00235BF4">
        <w:rPr>
          <w:rFonts w:ascii="Times New Roman" w:hAnsi="Times New Roman"/>
          <w:sz w:val="26"/>
          <w:szCs w:val="26"/>
        </w:rPr>
        <w:tab/>
      </w:r>
      <w:r>
        <w:rPr>
          <w:rFonts w:ascii="Times New Roman" w:hAnsi="Times New Roman"/>
          <w:sz w:val="26"/>
          <w:szCs w:val="26"/>
        </w:rPr>
        <w:t>п</w:t>
      </w:r>
      <w:r w:rsidRPr="00235BF4">
        <w:rPr>
          <w:rFonts w:ascii="Times New Roman" w:hAnsi="Times New Roman"/>
          <w:sz w:val="26"/>
          <w:szCs w:val="26"/>
        </w:rPr>
        <w:t xml:space="preserve">редложена е нова редакция </w:t>
      </w:r>
      <w:r w:rsidR="007D2C71">
        <w:rPr>
          <w:rFonts w:ascii="Times New Roman" w:hAnsi="Times New Roman"/>
          <w:sz w:val="26"/>
          <w:szCs w:val="26"/>
        </w:rPr>
        <w:t xml:space="preserve">на </w:t>
      </w:r>
      <w:r w:rsidRPr="00235BF4">
        <w:rPr>
          <w:rFonts w:ascii="Times New Roman" w:hAnsi="Times New Roman"/>
          <w:sz w:val="26"/>
          <w:szCs w:val="26"/>
        </w:rPr>
        <w:t>чл.81</w:t>
      </w:r>
      <w:r w:rsidR="007D2C71">
        <w:rPr>
          <w:rFonts w:ascii="Times New Roman" w:hAnsi="Times New Roman"/>
          <w:sz w:val="26"/>
          <w:szCs w:val="26"/>
        </w:rPr>
        <w:t>,</w:t>
      </w:r>
      <w:r w:rsidRPr="00235BF4">
        <w:rPr>
          <w:rFonts w:ascii="Times New Roman" w:hAnsi="Times New Roman"/>
          <w:sz w:val="26"/>
          <w:szCs w:val="26"/>
        </w:rPr>
        <w:t xml:space="preserve"> ал.3 и чл.83</w:t>
      </w:r>
      <w:r w:rsidR="007D2C71">
        <w:rPr>
          <w:rFonts w:ascii="Times New Roman" w:hAnsi="Times New Roman"/>
          <w:sz w:val="26"/>
          <w:szCs w:val="26"/>
        </w:rPr>
        <w:t xml:space="preserve"> от ЗДБРБ за 2022 г.</w:t>
      </w:r>
      <w:r w:rsidRPr="00235BF4">
        <w:rPr>
          <w:rFonts w:ascii="Times New Roman" w:hAnsi="Times New Roman"/>
          <w:sz w:val="26"/>
          <w:szCs w:val="26"/>
        </w:rPr>
        <w:t xml:space="preserve"> с цел  прецизиране на съответните разпоредби предвид одобрението от Съвета на </w:t>
      </w:r>
      <w:r>
        <w:rPr>
          <w:rFonts w:ascii="Times New Roman" w:hAnsi="Times New Roman"/>
          <w:sz w:val="26"/>
          <w:szCs w:val="26"/>
        </w:rPr>
        <w:t>Националния план за възстановяване и устойчивост (</w:t>
      </w:r>
      <w:r w:rsidRPr="00235BF4">
        <w:rPr>
          <w:rFonts w:ascii="Times New Roman" w:hAnsi="Times New Roman"/>
          <w:sz w:val="26"/>
          <w:szCs w:val="26"/>
        </w:rPr>
        <w:t>НПВУ</w:t>
      </w:r>
      <w:r>
        <w:rPr>
          <w:rFonts w:ascii="Times New Roman" w:hAnsi="Times New Roman"/>
          <w:sz w:val="26"/>
          <w:szCs w:val="26"/>
        </w:rPr>
        <w:t>)</w:t>
      </w:r>
      <w:r w:rsidRPr="00235BF4">
        <w:rPr>
          <w:rFonts w:ascii="Times New Roman" w:hAnsi="Times New Roman"/>
          <w:sz w:val="26"/>
          <w:szCs w:val="26"/>
        </w:rPr>
        <w:t xml:space="preserve"> и предстоящото подписване на финансово споразумение с Европейската комисия с оглед създаване на условия за навременното изпълнение на инвестициите, включени в ПВУ.</w:t>
      </w:r>
    </w:p>
    <w:p w:rsidR="00235BF4" w:rsidRDefault="00235BF4" w:rsidP="00235BF4">
      <w:pPr>
        <w:spacing w:line="240" w:lineRule="auto"/>
        <w:ind w:firstLine="567"/>
        <w:rPr>
          <w:rFonts w:ascii="Times New Roman" w:hAnsi="Times New Roman"/>
          <w:sz w:val="26"/>
          <w:szCs w:val="26"/>
        </w:rPr>
      </w:pPr>
      <w:r w:rsidRPr="00235BF4">
        <w:rPr>
          <w:rFonts w:ascii="Times New Roman" w:hAnsi="Times New Roman"/>
          <w:sz w:val="26"/>
          <w:szCs w:val="26"/>
        </w:rPr>
        <w:t>-</w:t>
      </w:r>
      <w:r w:rsidRPr="00235BF4">
        <w:rPr>
          <w:rFonts w:ascii="Times New Roman" w:hAnsi="Times New Roman"/>
          <w:sz w:val="26"/>
          <w:szCs w:val="26"/>
        </w:rPr>
        <w:tab/>
      </w:r>
      <w:r>
        <w:rPr>
          <w:rFonts w:ascii="Times New Roman" w:hAnsi="Times New Roman"/>
          <w:sz w:val="26"/>
          <w:szCs w:val="26"/>
        </w:rPr>
        <w:t>с</w:t>
      </w:r>
      <w:r w:rsidRPr="00235BF4">
        <w:rPr>
          <w:rFonts w:ascii="Times New Roman" w:hAnsi="Times New Roman"/>
          <w:sz w:val="26"/>
          <w:szCs w:val="26"/>
        </w:rPr>
        <w:t xml:space="preserve"> цел прецизиране на приетия текст на чл. 84, ал. 3 от ЗДБРБ за 2022 г., и привеждане на разпоредбата в съответствие със Закона за управление на средствата от Европейските структурни и инвестиционни фондове е предложена промяна на разпоредбата.</w:t>
      </w:r>
    </w:p>
    <w:p w:rsidR="00235BF4" w:rsidRDefault="00235BF4" w:rsidP="007D2C71">
      <w:pPr>
        <w:spacing w:line="240" w:lineRule="auto"/>
        <w:ind w:firstLine="567"/>
        <w:rPr>
          <w:rFonts w:ascii="Times New Roman" w:hAnsi="Times New Roman"/>
          <w:sz w:val="26"/>
          <w:szCs w:val="26"/>
        </w:rPr>
      </w:pPr>
      <w:r w:rsidRPr="00235BF4">
        <w:rPr>
          <w:rFonts w:ascii="Times New Roman" w:hAnsi="Times New Roman"/>
          <w:sz w:val="26"/>
          <w:szCs w:val="26"/>
        </w:rPr>
        <w:t>-</w:t>
      </w:r>
      <w:r w:rsidRPr="00235BF4">
        <w:rPr>
          <w:rFonts w:ascii="Times New Roman" w:hAnsi="Times New Roman"/>
          <w:sz w:val="26"/>
          <w:szCs w:val="26"/>
        </w:rPr>
        <w:tab/>
      </w:r>
      <w:r>
        <w:rPr>
          <w:rFonts w:ascii="Times New Roman" w:hAnsi="Times New Roman"/>
          <w:sz w:val="26"/>
          <w:szCs w:val="26"/>
        </w:rPr>
        <w:t>п</w:t>
      </w:r>
      <w:r w:rsidRPr="00235BF4">
        <w:rPr>
          <w:rFonts w:ascii="Times New Roman" w:hAnsi="Times New Roman"/>
          <w:sz w:val="26"/>
          <w:szCs w:val="26"/>
        </w:rPr>
        <w:t>редлага се изменение на чл. 109, ал. 3 от ЗДБРБ за 2022 г.</w:t>
      </w:r>
      <w:r w:rsidRPr="00235BF4">
        <w:t xml:space="preserve"> </w:t>
      </w:r>
      <w:r w:rsidR="00722CE3">
        <w:t xml:space="preserve">- </w:t>
      </w:r>
      <w:r w:rsidRPr="00235BF4">
        <w:rPr>
          <w:rFonts w:ascii="Times New Roman" w:hAnsi="Times New Roman"/>
          <w:sz w:val="26"/>
          <w:szCs w:val="26"/>
        </w:rPr>
        <w:t xml:space="preserve">за целите на изготвянето на по-качествена, подробна, надеждна и коректна информация се предлага срокът по чл. 109, ал. 3 за внасяне в Народното събрание на отчетите за изпълнението на програмните бюджети </w:t>
      </w:r>
      <w:r w:rsidR="00DE4369">
        <w:rPr>
          <w:rFonts w:ascii="Times New Roman" w:hAnsi="Times New Roman"/>
          <w:sz w:val="26"/>
          <w:szCs w:val="26"/>
        </w:rPr>
        <w:t>з</w:t>
      </w:r>
      <w:r w:rsidRPr="00235BF4">
        <w:rPr>
          <w:rFonts w:ascii="Times New Roman" w:hAnsi="Times New Roman"/>
          <w:sz w:val="26"/>
          <w:szCs w:val="26"/>
        </w:rPr>
        <w:t>а всяко тримесечие за 2022 г. да бъде до 90 дни от края на съответния отчетен период.</w:t>
      </w:r>
    </w:p>
    <w:p w:rsidR="004C2349" w:rsidRDefault="004C2349" w:rsidP="004C2349">
      <w:pPr>
        <w:spacing w:line="240" w:lineRule="auto"/>
        <w:ind w:firstLine="567"/>
        <w:rPr>
          <w:rFonts w:ascii="Times New Roman" w:hAnsi="Times New Roman"/>
          <w:sz w:val="26"/>
          <w:szCs w:val="26"/>
        </w:rPr>
      </w:pPr>
      <w:r>
        <w:rPr>
          <w:rFonts w:ascii="Times New Roman" w:hAnsi="Times New Roman"/>
          <w:sz w:val="26"/>
          <w:szCs w:val="26"/>
        </w:rPr>
        <w:t>- п</w:t>
      </w:r>
      <w:r w:rsidRPr="00235BF4">
        <w:rPr>
          <w:rFonts w:ascii="Times New Roman" w:hAnsi="Times New Roman"/>
          <w:sz w:val="26"/>
          <w:szCs w:val="26"/>
        </w:rPr>
        <w:t>редлага се изменение и допълнение на разпоредбата на § 2 от преходните и заключителните разпоредби на З</w:t>
      </w:r>
      <w:r w:rsidR="00DE4369">
        <w:rPr>
          <w:rFonts w:ascii="Times New Roman" w:hAnsi="Times New Roman"/>
          <w:sz w:val="26"/>
          <w:szCs w:val="26"/>
        </w:rPr>
        <w:t>ДБРБ</w:t>
      </w:r>
      <w:r w:rsidRPr="00235BF4">
        <w:rPr>
          <w:rFonts w:ascii="Times New Roman" w:hAnsi="Times New Roman"/>
          <w:sz w:val="26"/>
          <w:szCs w:val="26"/>
        </w:rPr>
        <w:t xml:space="preserve"> за 2022 г., с което да се установи по-висок размер на данъчното облекчение за деца по чл. 22в от Закона за данъците върху доходите на физическите лица (ЗДДФЛ) и на данъчното облекчение за деца с увреждания по чл. 22г от същия закон</w:t>
      </w:r>
      <w:r w:rsidR="00A178E5">
        <w:rPr>
          <w:rFonts w:ascii="Times New Roman" w:hAnsi="Times New Roman"/>
          <w:sz w:val="26"/>
          <w:szCs w:val="26"/>
        </w:rPr>
        <w:t>, както и изменение и допълнение на разпоредбите на Закона за данък върху добавената стойност, Закона за акцизите и данъчните складове и промени в правилата на Данъчно-осигурителния процесуален кодекс</w:t>
      </w:r>
      <w:r w:rsidRPr="00235BF4">
        <w:rPr>
          <w:rFonts w:ascii="Times New Roman" w:hAnsi="Times New Roman"/>
          <w:sz w:val="26"/>
          <w:szCs w:val="26"/>
        </w:rPr>
        <w:t>.</w:t>
      </w:r>
    </w:p>
    <w:p w:rsidR="00206847" w:rsidRPr="008E6A2B" w:rsidRDefault="00206847" w:rsidP="00206847">
      <w:pPr>
        <w:tabs>
          <w:tab w:val="num" w:pos="2850"/>
        </w:tabs>
        <w:spacing w:line="240" w:lineRule="auto"/>
        <w:ind w:firstLine="0"/>
        <w:rPr>
          <w:rFonts w:ascii="Times New Roman" w:hAnsi="Times New Roman"/>
          <w:sz w:val="26"/>
          <w:szCs w:val="26"/>
        </w:rPr>
      </w:pPr>
      <w:r w:rsidRPr="008E6A2B">
        <w:rPr>
          <w:rFonts w:ascii="Times New Roman" w:hAnsi="Times New Roman"/>
          <w:sz w:val="26"/>
          <w:szCs w:val="26"/>
        </w:rPr>
        <w:t>Предложеният проект на акт не е свързан с транспониране на актове на Европейския съюз, поради което не се налага да бъде изготвена справка за съответствие с европейското право.</w:t>
      </w:r>
    </w:p>
    <w:p w:rsidR="00206847" w:rsidRPr="008E6A2B" w:rsidRDefault="00206847" w:rsidP="00206847">
      <w:pPr>
        <w:tabs>
          <w:tab w:val="num" w:pos="2850"/>
        </w:tabs>
        <w:spacing w:line="240" w:lineRule="auto"/>
        <w:ind w:firstLine="0"/>
        <w:rPr>
          <w:rFonts w:ascii="Times New Roman" w:hAnsi="Times New Roman"/>
          <w:sz w:val="26"/>
          <w:szCs w:val="26"/>
        </w:rPr>
      </w:pPr>
      <w:r w:rsidRPr="007E0D6B">
        <w:rPr>
          <w:rFonts w:ascii="Times New Roman" w:hAnsi="Times New Roman"/>
          <w:sz w:val="26"/>
          <w:szCs w:val="26"/>
        </w:rPr>
        <w:t>Предвид естеството на проекта на решение на Министерския съвет, по проекта не е проведено обществено обсъждане.</w:t>
      </w:r>
      <w:bookmarkStart w:id="0" w:name="_GoBack"/>
      <w:bookmarkEnd w:id="0"/>
    </w:p>
    <w:p w:rsidR="00206847" w:rsidRPr="008E6A2B" w:rsidRDefault="00206847" w:rsidP="00206847">
      <w:pPr>
        <w:tabs>
          <w:tab w:val="num" w:pos="2850"/>
        </w:tabs>
        <w:spacing w:line="240" w:lineRule="auto"/>
        <w:ind w:firstLine="0"/>
        <w:rPr>
          <w:rFonts w:ascii="Times New Roman" w:hAnsi="Times New Roman"/>
          <w:sz w:val="26"/>
          <w:szCs w:val="26"/>
        </w:rPr>
      </w:pPr>
      <w:r w:rsidRPr="00A178E5">
        <w:rPr>
          <w:rFonts w:ascii="Times New Roman" w:hAnsi="Times New Roman"/>
          <w:sz w:val="26"/>
          <w:szCs w:val="26"/>
        </w:rPr>
        <w:lastRenderedPageBreak/>
        <w:t>Проектът на Решение на Министерския съвет и материалите към него са съгласувани по реда на чл. 32, ал.1 от Устройствения правилник на Министерския съвет и на неговата администрация.</w:t>
      </w:r>
    </w:p>
    <w:p w:rsidR="00206847" w:rsidRPr="008E6A2B" w:rsidRDefault="00206847" w:rsidP="000F7DC4">
      <w:pPr>
        <w:spacing w:line="240" w:lineRule="auto"/>
        <w:ind w:firstLine="0"/>
        <w:rPr>
          <w:rFonts w:ascii="Times New Roman" w:hAnsi="Times New Roman"/>
          <w:sz w:val="26"/>
          <w:szCs w:val="26"/>
        </w:rPr>
      </w:pPr>
    </w:p>
    <w:p w:rsidR="00560520" w:rsidRPr="009D0F32" w:rsidRDefault="00560520" w:rsidP="00560520">
      <w:pPr>
        <w:spacing w:before="120" w:line="240" w:lineRule="auto"/>
        <w:rPr>
          <w:rFonts w:ascii="Times New Roman" w:hAnsi="Times New Roman"/>
          <w:b/>
          <w:smallCaps/>
          <w:szCs w:val="24"/>
        </w:rPr>
      </w:pPr>
      <w:r w:rsidRPr="009D0F32">
        <w:rPr>
          <w:rFonts w:ascii="Times New Roman" w:hAnsi="Times New Roman"/>
          <w:b/>
          <w:caps/>
          <w:szCs w:val="24"/>
        </w:rPr>
        <w:t>Уважаеми господин Министър-председател</w:t>
      </w:r>
      <w:r w:rsidRPr="009D0F32">
        <w:rPr>
          <w:rFonts w:ascii="Times New Roman" w:hAnsi="Times New Roman"/>
          <w:b/>
          <w:smallCaps/>
          <w:szCs w:val="24"/>
        </w:rPr>
        <w:t>,</w:t>
      </w:r>
    </w:p>
    <w:p w:rsidR="00560520" w:rsidRPr="009D0F32" w:rsidRDefault="00560520" w:rsidP="00560520">
      <w:pPr>
        <w:spacing w:line="240" w:lineRule="auto"/>
        <w:rPr>
          <w:rFonts w:ascii="Times New Roman" w:hAnsi="Times New Roman"/>
          <w:b/>
          <w:smallCaps/>
          <w:szCs w:val="24"/>
        </w:rPr>
      </w:pPr>
      <w:r w:rsidRPr="009D0F32">
        <w:rPr>
          <w:rFonts w:ascii="Times New Roman" w:hAnsi="Times New Roman"/>
          <w:b/>
          <w:smallCaps/>
          <w:szCs w:val="24"/>
        </w:rPr>
        <w:t>УВАЖАЕМИ ГОСПОЖИ И ГОСПОДА МИНИСТРИ,</w:t>
      </w:r>
    </w:p>
    <w:p w:rsidR="005E4372" w:rsidRPr="00C713B8" w:rsidRDefault="005E4372" w:rsidP="000F7DC4">
      <w:pPr>
        <w:spacing w:line="240" w:lineRule="auto"/>
        <w:ind w:firstLine="0"/>
        <w:rPr>
          <w:rFonts w:ascii="Times New Roman" w:hAnsi="Times New Roman"/>
          <w:szCs w:val="24"/>
        </w:rPr>
      </w:pPr>
      <w:r w:rsidRPr="00C713B8">
        <w:rPr>
          <w:rFonts w:ascii="Times New Roman" w:hAnsi="Times New Roman"/>
          <w:sz w:val="26"/>
          <w:szCs w:val="26"/>
        </w:rPr>
        <w:t xml:space="preserve">С оглед изложеното по-горе и на основание чл. 87, ал. 2 от Конституцията на Република България и чл. 8, ал. 4, т. 1 от Устройствения правилник на Министерския съвет и на неговата администрация, предлагам Министерският съвет да разгледа и приеме приложения проект на Решение на Министерския съвет за одобряване на </w:t>
      </w:r>
      <w:r w:rsidR="002A0D50" w:rsidRPr="00C713B8">
        <w:rPr>
          <w:rFonts w:ascii="Times New Roman" w:hAnsi="Times New Roman"/>
          <w:sz w:val="26"/>
          <w:szCs w:val="26"/>
        </w:rPr>
        <w:t>законопроект за изменение и допълнение на Закона за държавния бюджет на Република България за 20</w:t>
      </w:r>
      <w:r w:rsidR="000F7DC4" w:rsidRPr="00C713B8">
        <w:rPr>
          <w:rFonts w:ascii="Times New Roman" w:hAnsi="Times New Roman"/>
          <w:sz w:val="26"/>
          <w:szCs w:val="26"/>
        </w:rPr>
        <w:t>2</w:t>
      </w:r>
      <w:r w:rsidR="008551E2">
        <w:rPr>
          <w:rFonts w:ascii="Times New Roman" w:hAnsi="Times New Roman"/>
          <w:sz w:val="26"/>
          <w:szCs w:val="26"/>
        </w:rPr>
        <w:t>2</w:t>
      </w:r>
      <w:r w:rsidR="002A0D50" w:rsidRPr="00C713B8">
        <w:rPr>
          <w:rFonts w:ascii="Times New Roman" w:hAnsi="Times New Roman"/>
          <w:sz w:val="26"/>
          <w:szCs w:val="26"/>
        </w:rPr>
        <w:t xml:space="preserve"> г</w:t>
      </w:r>
      <w:r w:rsidR="002A0D50" w:rsidRPr="00C713B8">
        <w:rPr>
          <w:rFonts w:ascii="Times New Roman" w:hAnsi="Times New Roman"/>
          <w:bCs/>
          <w:szCs w:val="24"/>
        </w:rPr>
        <w:t>.</w:t>
      </w:r>
    </w:p>
    <w:p w:rsidR="00E82EE1" w:rsidRPr="0066716F" w:rsidRDefault="00E82EE1" w:rsidP="005E4372">
      <w:pPr>
        <w:spacing w:line="240" w:lineRule="auto"/>
        <w:rPr>
          <w:rFonts w:ascii="Times New Roman" w:hAnsi="Times New Roman"/>
          <w:color w:val="4F81BD" w:themeColor="accent1"/>
          <w:szCs w:val="24"/>
        </w:rPr>
      </w:pPr>
    </w:p>
    <w:p w:rsidR="005E4372" w:rsidRPr="00FE1721" w:rsidRDefault="005E4372" w:rsidP="005E4372">
      <w:pPr>
        <w:spacing w:line="240" w:lineRule="auto"/>
        <w:rPr>
          <w:rFonts w:ascii="Times New Roman" w:hAnsi="Times New Roman"/>
          <w:b/>
          <w:szCs w:val="24"/>
          <w:u w:val="single"/>
        </w:rPr>
      </w:pPr>
      <w:r w:rsidRPr="00FE1721">
        <w:rPr>
          <w:rFonts w:ascii="Times New Roman" w:hAnsi="Times New Roman"/>
          <w:b/>
          <w:szCs w:val="24"/>
          <w:u w:val="single"/>
        </w:rPr>
        <w:t xml:space="preserve">Приложения: </w:t>
      </w:r>
    </w:p>
    <w:p w:rsidR="005E4372" w:rsidRPr="00FE1721" w:rsidRDefault="005E4372" w:rsidP="005E4372">
      <w:pPr>
        <w:numPr>
          <w:ilvl w:val="0"/>
          <w:numId w:val="1"/>
        </w:numPr>
        <w:spacing w:after="0" w:line="240" w:lineRule="auto"/>
        <w:ind w:left="1077" w:hanging="357"/>
        <w:rPr>
          <w:rFonts w:ascii="Times New Roman" w:hAnsi="Times New Roman"/>
          <w:szCs w:val="24"/>
        </w:rPr>
      </w:pPr>
      <w:r w:rsidRPr="00FE1721">
        <w:rPr>
          <w:rFonts w:ascii="Times New Roman" w:hAnsi="Times New Roman"/>
          <w:szCs w:val="24"/>
        </w:rPr>
        <w:t>Проект на Решение на Министерския съвет за одобряване на законопроект;</w:t>
      </w:r>
    </w:p>
    <w:p w:rsidR="005E4372" w:rsidRPr="00FE1721" w:rsidRDefault="005E4372" w:rsidP="005E4372">
      <w:pPr>
        <w:numPr>
          <w:ilvl w:val="0"/>
          <w:numId w:val="1"/>
        </w:numPr>
        <w:spacing w:after="0" w:line="240" w:lineRule="auto"/>
        <w:ind w:left="1077" w:hanging="357"/>
        <w:rPr>
          <w:rFonts w:ascii="Times New Roman" w:hAnsi="Times New Roman"/>
          <w:szCs w:val="24"/>
        </w:rPr>
      </w:pPr>
      <w:r w:rsidRPr="00FE1721">
        <w:rPr>
          <w:rFonts w:ascii="Times New Roman" w:hAnsi="Times New Roman"/>
          <w:szCs w:val="24"/>
        </w:rPr>
        <w:t xml:space="preserve">Проект на </w:t>
      </w:r>
      <w:r w:rsidR="002A0D50" w:rsidRPr="00FE1721">
        <w:rPr>
          <w:rFonts w:ascii="Times New Roman" w:hAnsi="Times New Roman"/>
          <w:szCs w:val="24"/>
        </w:rPr>
        <w:t xml:space="preserve">Закон за изменение и допълнение на </w:t>
      </w:r>
      <w:r w:rsidRPr="00FE1721">
        <w:rPr>
          <w:rFonts w:ascii="Times New Roman" w:hAnsi="Times New Roman"/>
          <w:szCs w:val="24"/>
        </w:rPr>
        <w:t>Закон</w:t>
      </w:r>
      <w:r w:rsidR="002A0D50" w:rsidRPr="00FE1721">
        <w:rPr>
          <w:rFonts w:ascii="Times New Roman" w:hAnsi="Times New Roman"/>
          <w:szCs w:val="24"/>
        </w:rPr>
        <w:t>а</w:t>
      </w:r>
      <w:r w:rsidRPr="00FE1721">
        <w:rPr>
          <w:rFonts w:ascii="Times New Roman" w:hAnsi="Times New Roman"/>
          <w:szCs w:val="24"/>
        </w:rPr>
        <w:t xml:space="preserve"> за държавния бюджет на Република България за </w:t>
      </w:r>
      <w:r w:rsidR="00756219" w:rsidRPr="00FE1721">
        <w:rPr>
          <w:rFonts w:ascii="Times New Roman" w:hAnsi="Times New Roman"/>
          <w:szCs w:val="24"/>
        </w:rPr>
        <w:t>20</w:t>
      </w:r>
      <w:r w:rsidR="00FE1721" w:rsidRPr="00FE1721">
        <w:rPr>
          <w:rFonts w:ascii="Times New Roman" w:hAnsi="Times New Roman"/>
          <w:szCs w:val="24"/>
        </w:rPr>
        <w:t>2</w:t>
      </w:r>
      <w:r w:rsidR="006603E1">
        <w:rPr>
          <w:rFonts w:ascii="Times New Roman" w:hAnsi="Times New Roman"/>
          <w:szCs w:val="24"/>
        </w:rPr>
        <w:t>2</w:t>
      </w:r>
      <w:r w:rsidR="00756219" w:rsidRPr="00FE1721">
        <w:rPr>
          <w:rFonts w:ascii="Times New Roman" w:hAnsi="Times New Roman"/>
          <w:szCs w:val="24"/>
        </w:rPr>
        <w:t> </w:t>
      </w:r>
      <w:r w:rsidRPr="00FE1721">
        <w:rPr>
          <w:rFonts w:ascii="Times New Roman" w:hAnsi="Times New Roman"/>
          <w:szCs w:val="24"/>
        </w:rPr>
        <w:t>г.;</w:t>
      </w:r>
    </w:p>
    <w:p w:rsidR="005E4372" w:rsidRPr="00FE1721" w:rsidRDefault="0037526B" w:rsidP="005E4372">
      <w:pPr>
        <w:numPr>
          <w:ilvl w:val="0"/>
          <w:numId w:val="1"/>
        </w:numPr>
        <w:spacing w:after="0" w:line="240" w:lineRule="auto"/>
        <w:ind w:left="1077" w:hanging="357"/>
        <w:rPr>
          <w:rFonts w:ascii="Times New Roman" w:hAnsi="Times New Roman"/>
          <w:szCs w:val="24"/>
        </w:rPr>
      </w:pPr>
      <w:r w:rsidRPr="00FE1721">
        <w:rPr>
          <w:rFonts w:ascii="Times New Roman" w:hAnsi="Times New Roman"/>
          <w:szCs w:val="24"/>
        </w:rPr>
        <w:t>Мотиви към законопроекта за изменение и допълнение на Закона за държавния бюджет на Република България за 20</w:t>
      </w:r>
      <w:r w:rsidR="000F7DC4" w:rsidRPr="00FE1721">
        <w:rPr>
          <w:rFonts w:ascii="Times New Roman" w:hAnsi="Times New Roman"/>
          <w:szCs w:val="24"/>
        </w:rPr>
        <w:t>2</w:t>
      </w:r>
      <w:r w:rsidR="006603E1">
        <w:rPr>
          <w:rFonts w:ascii="Times New Roman" w:hAnsi="Times New Roman"/>
          <w:szCs w:val="24"/>
        </w:rPr>
        <w:t>2</w:t>
      </w:r>
      <w:r w:rsidRPr="00FE1721">
        <w:rPr>
          <w:rFonts w:ascii="Times New Roman" w:hAnsi="Times New Roman"/>
          <w:szCs w:val="24"/>
        </w:rPr>
        <w:t> г.;</w:t>
      </w:r>
    </w:p>
    <w:p w:rsidR="005E4372" w:rsidRPr="00FE1721" w:rsidRDefault="005E4372" w:rsidP="005E4372">
      <w:pPr>
        <w:numPr>
          <w:ilvl w:val="0"/>
          <w:numId w:val="1"/>
        </w:numPr>
        <w:spacing w:after="0" w:line="240" w:lineRule="auto"/>
        <w:ind w:left="1077" w:hanging="357"/>
        <w:rPr>
          <w:rFonts w:ascii="Times New Roman" w:hAnsi="Times New Roman"/>
          <w:szCs w:val="24"/>
        </w:rPr>
      </w:pPr>
      <w:r w:rsidRPr="00FE1721">
        <w:rPr>
          <w:rFonts w:ascii="Times New Roman" w:hAnsi="Times New Roman"/>
          <w:szCs w:val="24"/>
        </w:rPr>
        <w:t>Финансова обосновка;</w:t>
      </w:r>
    </w:p>
    <w:p w:rsidR="005E4372" w:rsidRPr="00FE1721" w:rsidRDefault="005E4372" w:rsidP="00CC6844">
      <w:pPr>
        <w:numPr>
          <w:ilvl w:val="0"/>
          <w:numId w:val="1"/>
        </w:numPr>
        <w:spacing w:after="0" w:line="240" w:lineRule="auto"/>
        <w:ind w:left="1077" w:hanging="357"/>
        <w:rPr>
          <w:rFonts w:ascii="Times New Roman" w:hAnsi="Times New Roman"/>
          <w:szCs w:val="24"/>
        </w:rPr>
      </w:pPr>
      <w:r w:rsidRPr="00FE1721">
        <w:rPr>
          <w:rFonts w:ascii="Times New Roman" w:hAnsi="Times New Roman"/>
          <w:szCs w:val="24"/>
        </w:rPr>
        <w:t>Проект на съобщение за средствата за масово осведомяване;</w:t>
      </w:r>
    </w:p>
    <w:p w:rsidR="005E4372" w:rsidRPr="00C713B8" w:rsidRDefault="005E4372" w:rsidP="005E4372">
      <w:pPr>
        <w:pStyle w:val="BodyTextIndent"/>
        <w:ind w:left="2790"/>
        <w:rPr>
          <w:b/>
          <w:color w:val="4F81BD" w:themeColor="accent1"/>
          <w:sz w:val="24"/>
          <w:szCs w:val="24"/>
        </w:rPr>
      </w:pPr>
    </w:p>
    <w:p w:rsidR="00B633FA" w:rsidRPr="00FE6AC5" w:rsidRDefault="00B633FA" w:rsidP="005E4372">
      <w:pPr>
        <w:pStyle w:val="BodyTextIndent"/>
        <w:ind w:left="2790"/>
        <w:rPr>
          <w:b/>
          <w:sz w:val="24"/>
          <w:szCs w:val="24"/>
        </w:rPr>
      </w:pPr>
    </w:p>
    <w:p w:rsidR="00B633FA" w:rsidRPr="008D2082" w:rsidRDefault="00B633FA" w:rsidP="005E4372">
      <w:pPr>
        <w:pStyle w:val="BodyTextIndent"/>
        <w:ind w:left="2790"/>
        <w:rPr>
          <w:b/>
          <w:sz w:val="24"/>
          <w:szCs w:val="24"/>
        </w:rPr>
      </w:pPr>
    </w:p>
    <w:p w:rsidR="00206847" w:rsidRPr="008D2082" w:rsidRDefault="00206847" w:rsidP="005E4372">
      <w:pPr>
        <w:pStyle w:val="BodyTextIndent"/>
        <w:ind w:left="2790"/>
        <w:rPr>
          <w:b/>
          <w:sz w:val="24"/>
          <w:szCs w:val="24"/>
        </w:rPr>
      </w:pPr>
    </w:p>
    <w:p w:rsidR="006603E1" w:rsidRPr="007605D4" w:rsidRDefault="006603E1" w:rsidP="006603E1">
      <w:pPr>
        <w:pStyle w:val="Header"/>
        <w:tabs>
          <w:tab w:val="clear" w:pos="4153"/>
          <w:tab w:val="clear" w:pos="8306"/>
        </w:tabs>
        <w:spacing w:after="0" w:line="240" w:lineRule="auto"/>
        <w:ind w:left="3600" w:hanging="56"/>
        <w:jc w:val="left"/>
        <w:rPr>
          <w:rFonts w:ascii="Times New Roman" w:hAnsi="Times New Roman"/>
          <w:b/>
          <w:sz w:val="26"/>
          <w:szCs w:val="26"/>
        </w:rPr>
      </w:pPr>
      <w:r w:rsidRPr="007605D4">
        <w:rPr>
          <w:rFonts w:ascii="Times New Roman" w:hAnsi="Times New Roman"/>
          <w:b/>
          <w:sz w:val="26"/>
          <w:szCs w:val="26"/>
        </w:rPr>
        <w:t xml:space="preserve">ЗАМЕСТНИК МИНИСТЪР-ПРЕДСЕДАТЕЛ </w:t>
      </w:r>
    </w:p>
    <w:p w:rsidR="006603E1" w:rsidRPr="007605D4" w:rsidRDefault="006603E1" w:rsidP="006603E1">
      <w:pPr>
        <w:pStyle w:val="Header"/>
        <w:tabs>
          <w:tab w:val="clear" w:pos="4153"/>
          <w:tab w:val="clear" w:pos="8306"/>
        </w:tabs>
        <w:spacing w:after="0" w:line="240" w:lineRule="auto"/>
        <w:ind w:left="3600" w:hanging="56"/>
        <w:jc w:val="left"/>
        <w:rPr>
          <w:rFonts w:ascii="Times New Roman" w:hAnsi="Times New Roman"/>
          <w:b/>
          <w:sz w:val="26"/>
          <w:szCs w:val="26"/>
        </w:rPr>
      </w:pPr>
      <w:r w:rsidRPr="007605D4">
        <w:rPr>
          <w:rFonts w:ascii="Times New Roman" w:hAnsi="Times New Roman"/>
          <w:b/>
          <w:sz w:val="26"/>
          <w:szCs w:val="26"/>
        </w:rPr>
        <w:t xml:space="preserve">ПО ЕВРОФОНДОВЕТЕ И </w:t>
      </w:r>
    </w:p>
    <w:p w:rsidR="005E4372" w:rsidRDefault="006603E1" w:rsidP="006603E1">
      <w:pPr>
        <w:pStyle w:val="BodyTextIndent"/>
        <w:ind w:left="2790" w:firstLine="754"/>
        <w:rPr>
          <w:b/>
          <w:sz w:val="24"/>
          <w:szCs w:val="24"/>
        </w:rPr>
      </w:pPr>
      <w:r w:rsidRPr="007605D4">
        <w:rPr>
          <w:b/>
          <w:sz w:val="26"/>
          <w:szCs w:val="26"/>
        </w:rPr>
        <w:t>МИНИСТЪР НА ФИНАНСИТЕ</w:t>
      </w:r>
      <w:r w:rsidR="005E4372">
        <w:rPr>
          <w:b/>
          <w:sz w:val="24"/>
          <w:szCs w:val="24"/>
        </w:rPr>
        <w:t>:</w:t>
      </w:r>
    </w:p>
    <w:p w:rsidR="005E4372" w:rsidRDefault="005E4372" w:rsidP="005E4372">
      <w:pPr>
        <w:pStyle w:val="BodyTextIndent"/>
        <w:ind w:left="4230"/>
        <w:rPr>
          <w:b/>
          <w:sz w:val="24"/>
          <w:szCs w:val="24"/>
          <w:lang w:val="en-US"/>
        </w:rPr>
      </w:pPr>
      <w:r>
        <w:rPr>
          <w:b/>
          <w:sz w:val="24"/>
          <w:szCs w:val="24"/>
        </w:rPr>
        <w:t xml:space="preserve"> </w:t>
      </w:r>
      <w:r>
        <w:rPr>
          <w:b/>
          <w:sz w:val="24"/>
          <w:szCs w:val="24"/>
        </w:rPr>
        <w:tab/>
      </w:r>
    </w:p>
    <w:p w:rsidR="00206847" w:rsidRPr="00206847" w:rsidRDefault="00206847" w:rsidP="005E4372">
      <w:pPr>
        <w:pStyle w:val="BodyTextIndent"/>
        <w:ind w:left="4230"/>
        <w:rPr>
          <w:b/>
          <w:sz w:val="24"/>
          <w:szCs w:val="24"/>
          <w:lang w:val="en-US"/>
        </w:rPr>
      </w:pPr>
    </w:p>
    <w:p w:rsidR="005E4372" w:rsidRDefault="0066716F" w:rsidP="005E4372">
      <w:pPr>
        <w:pStyle w:val="BodyTextIndent"/>
        <w:ind w:left="4950"/>
        <w:rPr>
          <w:b/>
          <w:sz w:val="24"/>
          <w:szCs w:val="24"/>
        </w:rPr>
      </w:pPr>
      <w:r>
        <w:rPr>
          <w:b/>
          <w:sz w:val="24"/>
          <w:szCs w:val="24"/>
        </w:rPr>
        <w:t>АСЕН</w:t>
      </w:r>
      <w:r w:rsidR="005E4372">
        <w:rPr>
          <w:b/>
          <w:sz w:val="24"/>
          <w:szCs w:val="24"/>
        </w:rPr>
        <w:t xml:space="preserve"> </w:t>
      </w:r>
      <w:r>
        <w:rPr>
          <w:b/>
          <w:sz w:val="24"/>
          <w:szCs w:val="24"/>
        </w:rPr>
        <w:t>ВАСИЛЕВ</w:t>
      </w:r>
    </w:p>
    <w:p w:rsidR="004C5335" w:rsidRDefault="004C5335" w:rsidP="005E4372">
      <w:pPr>
        <w:pStyle w:val="BodyTextIndent"/>
        <w:ind w:left="4950"/>
        <w:rPr>
          <w:b/>
          <w:sz w:val="24"/>
          <w:szCs w:val="24"/>
        </w:rPr>
      </w:pPr>
    </w:p>
    <w:p w:rsidR="004C5335" w:rsidRPr="005E4372" w:rsidRDefault="004C5335" w:rsidP="004C5335">
      <w:pPr>
        <w:pStyle w:val="Header"/>
        <w:tabs>
          <w:tab w:val="left" w:pos="1134"/>
        </w:tabs>
        <w:spacing w:after="0" w:line="240" w:lineRule="auto"/>
        <w:ind w:firstLine="0"/>
        <w:rPr>
          <w:rFonts w:ascii="Times New Roman" w:hAnsi="Times New Roman"/>
          <w:sz w:val="20"/>
        </w:rPr>
      </w:pPr>
    </w:p>
    <w:p w:rsidR="004C5335" w:rsidRPr="00396C99" w:rsidRDefault="004C5335" w:rsidP="005E4372">
      <w:pPr>
        <w:pStyle w:val="BodyTextIndent"/>
        <w:ind w:left="4950"/>
        <w:rPr>
          <w:b/>
          <w:sz w:val="24"/>
          <w:szCs w:val="24"/>
        </w:rPr>
      </w:pPr>
    </w:p>
    <w:sectPr w:rsidR="004C5335" w:rsidRPr="00396C99" w:rsidSect="00206847">
      <w:headerReference w:type="even" r:id="rId8"/>
      <w:headerReference w:type="default" r:id="rId9"/>
      <w:footerReference w:type="even" r:id="rId10"/>
      <w:footerReference w:type="default" r:id="rId11"/>
      <w:headerReference w:type="first" r:id="rId12"/>
      <w:footerReference w:type="first" r:id="rId13"/>
      <w:pgSz w:w="11906" w:h="16838" w:code="9"/>
      <w:pgMar w:top="1134" w:right="848" w:bottom="1276" w:left="993" w:header="507" w:footer="241" w:gutter="0"/>
      <w:cols w:space="708"/>
      <w:titlePg/>
      <w:docGrid w:linePitch="7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EC6" w:rsidRDefault="00183EC6">
      <w:r>
        <w:separator/>
      </w:r>
    </w:p>
  </w:endnote>
  <w:endnote w:type="continuationSeparator" w:id="0">
    <w:p w:rsidR="00183EC6" w:rsidRDefault="00183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1AD" w:rsidRDefault="000B21A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95588"/>
      <w:docPartObj>
        <w:docPartGallery w:val="Page Numbers (Bottom of Page)"/>
        <w:docPartUnique/>
      </w:docPartObj>
    </w:sdtPr>
    <w:sdtEndPr/>
    <w:sdtContent>
      <w:p w:rsidR="005E4372" w:rsidRDefault="005E4372">
        <w:pPr>
          <w:pStyle w:val="Footer"/>
          <w:jc w:val="center"/>
        </w:pPr>
        <w:r w:rsidRPr="005E4372">
          <w:rPr>
            <w:rFonts w:ascii="Times New Roman" w:hAnsi="Times New Roman"/>
          </w:rPr>
          <w:fldChar w:fldCharType="begin"/>
        </w:r>
        <w:r w:rsidRPr="005E4372">
          <w:rPr>
            <w:rFonts w:ascii="Times New Roman" w:hAnsi="Times New Roman"/>
          </w:rPr>
          <w:instrText>PAGE   \* MERGEFORMAT</w:instrText>
        </w:r>
        <w:r w:rsidRPr="005E4372">
          <w:rPr>
            <w:rFonts w:ascii="Times New Roman" w:hAnsi="Times New Roman"/>
          </w:rPr>
          <w:fldChar w:fldCharType="separate"/>
        </w:r>
        <w:r w:rsidR="007E0D6B">
          <w:rPr>
            <w:rFonts w:ascii="Times New Roman" w:hAnsi="Times New Roman"/>
            <w:noProof/>
          </w:rPr>
          <w:t>12</w:t>
        </w:r>
        <w:r w:rsidRPr="005E4372">
          <w:rPr>
            <w:rFonts w:ascii="Times New Roman" w:hAnsi="Times New Roman"/>
          </w:rPr>
          <w:fldChar w:fldCharType="end"/>
        </w:r>
      </w:p>
    </w:sdtContent>
  </w:sdt>
  <w:p w:rsidR="005E4372" w:rsidRDefault="005E437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44D" w:rsidRDefault="001669E4">
    <w:pPr>
      <w:pStyle w:val="Footer"/>
      <w:tabs>
        <w:tab w:val="clear" w:pos="4153"/>
        <w:tab w:val="clear" w:pos="8306"/>
        <w:tab w:val="center" w:pos="5358"/>
        <w:tab w:val="right" w:pos="9923"/>
      </w:tabs>
      <w:spacing w:after="0" w:line="240" w:lineRule="auto"/>
      <w:ind w:left="-855" w:firstLine="0"/>
      <w:jc w:val="left"/>
      <w:rPr>
        <w:rFonts w:ascii="Times New Roman CYR" w:hAnsi="Times New Roman CYR"/>
        <w:b/>
        <w:color w:val="000000"/>
        <w:sz w:val="16"/>
      </w:rPr>
    </w:pPr>
    <w:r>
      <w:rPr>
        <w:rFonts w:ascii="Times New Roman CYR" w:hAnsi="Times New Roman CYR"/>
        <w:b/>
        <w:noProof/>
        <w:color w:val="000000"/>
        <w:sz w:val="20"/>
        <w:lang w:eastAsia="bg-BG"/>
      </w:rPr>
      <mc:AlternateContent>
        <mc:Choice Requires="wps">
          <w:drawing>
            <wp:anchor distT="0" distB="0" distL="114300" distR="114300" simplePos="0" relativeHeight="251657216" behindDoc="0" locked="0" layoutInCell="0" allowOverlap="1" wp14:anchorId="7508B20B" wp14:editId="69A33931">
              <wp:simplePos x="0" y="0"/>
              <wp:positionH relativeFrom="column">
                <wp:posOffset>-542925</wp:posOffset>
              </wp:positionH>
              <wp:positionV relativeFrom="paragraph">
                <wp:posOffset>81915</wp:posOffset>
              </wp:positionV>
              <wp:extent cx="687705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77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CDC31"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5pt,6.45pt" to="498.7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fe8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" o:allowincell="f"/>
          </w:pict>
        </mc:Fallback>
      </mc:AlternateContent>
    </w:r>
  </w:p>
  <w:p w:rsidR="0099644D" w:rsidRDefault="0099644D">
    <w:pPr>
      <w:pStyle w:val="Footer"/>
      <w:tabs>
        <w:tab w:val="clear" w:pos="4153"/>
        <w:tab w:val="clear" w:pos="8306"/>
        <w:tab w:val="center" w:pos="4617"/>
        <w:tab w:val="right" w:pos="9923"/>
      </w:tabs>
      <w:spacing w:after="0" w:line="240" w:lineRule="auto"/>
      <w:ind w:left="-855" w:firstLine="0"/>
      <w:jc w:val="left"/>
      <w:rPr>
        <w:rFonts w:ascii="Times New Roman CYR" w:hAnsi="Times New Roman CYR"/>
        <w:b/>
        <w:color w:val="000000"/>
        <w:sz w:val="16"/>
      </w:rPr>
    </w:pPr>
    <w:r w:rsidRPr="00E7009E">
      <w:rPr>
        <w:rFonts w:ascii="Times New Roman CYR" w:hAnsi="Times New Roman CYR"/>
        <w:b/>
        <w:color w:val="000000"/>
        <w:sz w:val="16"/>
      </w:rPr>
      <w:t>София</w:t>
    </w:r>
    <w:r>
      <w:rPr>
        <w:rFonts w:ascii="Times New Roman CYR" w:hAnsi="Times New Roman CYR"/>
        <w:b/>
        <w:color w:val="000000"/>
        <w:sz w:val="16"/>
      </w:rPr>
      <w:t xml:space="preserve"> -</w:t>
    </w:r>
    <w:r w:rsidRPr="00E7009E">
      <w:rPr>
        <w:rFonts w:ascii="Times New Roman CYR" w:hAnsi="Times New Roman CYR"/>
        <w:b/>
        <w:color w:val="000000"/>
        <w:sz w:val="16"/>
      </w:rPr>
      <w:t xml:space="preserve"> 1040</w:t>
    </w:r>
    <w:r w:rsidRPr="00E7009E">
      <w:rPr>
        <w:rFonts w:ascii="Times New Roman CYR" w:hAnsi="Times New Roman CYR"/>
        <w:b/>
        <w:color w:val="000000"/>
        <w:sz w:val="16"/>
      </w:rPr>
      <w:tab/>
      <w:t xml:space="preserve"> тел. централа: 9859 1</w:t>
    </w:r>
    <w:r>
      <w:rPr>
        <w:rFonts w:ascii="Times New Roman CYR" w:hAnsi="Times New Roman CYR"/>
        <w:b/>
        <w:color w:val="000000"/>
        <w:sz w:val="16"/>
      </w:rPr>
      <w:tab/>
    </w:r>
    <w:r w:rsidRPr="00E7009E">
      <w:rPr>
        <w:rFonts w:ascii="Times New Roman CYR" w:hAnsi="Times New Roman CYR"/>
        <w:b/>
        <w:color w:val="000000"/>
        <w:sz w:val="16"/>
      </w:rPr>
      <w:t xml:space="preserve"> </w:t>
    </w:r>
    <w:proofErr w:type="spellStart"/>
    <w:r>
      <w:rPr>
        <w:rFonts w:ascii="Times New Roman CYR" w:hAnsi="Times New Roman CYR"/>
        <w:b/>
        <w:color w:val="000000"/>
        <w:sz w:val="16"/>
        <w:lang w:val="en-US"/>
      </w:rPr>
      <w:t>minfin</w:t>
    </w:r>
    <w:proofErr w:type="spellEnd"/>
    <w:r w:rsidRPr="00E7009E">
      <w:rPr>
        <w:rFonts w:ascii="Times New Roman CYR" w:hAnsi="Times New Roman CYR"/>
        <w:b/>
        <w:color w:val="000000"/>
        <w:sz w:val="16"/>
      </w:rPr>
      <w:t>@</w:t>
    </w:r>
    <w:proofErr w:type="spellStart"/>
    <w:r>
      <w:rPr>
        <w:rFonts w:ascii="Times New Roman CYR" w:hAnsi="Times New Roman CYR"/>
        <w:b/>
        <w:color w:val="000000"/>
        <w:sz w:val="16"/>
        <w:lang w:val="en-US"/>
      </w:rPr>
      <w:t>minfin</w:t>
    </w:r>
    <w:proofErr w:type="spellEnd"/>
    <w:r w:rsidRPr="00E7009E">
      <w:rPr>
        <w:rFonts w:ascii="Times New Roman CYR" w:hAnsi="Times New Roman CYR"/>
        <w:b/>
        <w:color w:val="000000"/>
        <w:sz w:val="16"/>
      </w:rPr>
      <w:t>.</w:t>
    </w:r>
    <w:proofErr w:type="spellStart"/>
    <w:r>
      <w:rPr>
        <w:rFonts w:ascii="Times New Roman CYR" w:hAnsi="Times New Roman CYR"/>
        <w:b/>
        <w:color w:val="000000"/>
        <w:sz w:val="16"/>
        <w:lang w:val="en-US"/>
      </w:rPr>
      <w:t>bg</w:t>
    </w:r>
    <w:proofErr w:type="spellEnd"/>
    <w:r w:rsidRPr="00E7009E">
      <w:rPr>
        <w:rFonts w:ascii="Times New Roman CYR" w:hAnsi="Times New Roman CYR"/>
        <w:b/>
        <w:color w:val="000000"/>
        <w:sz w:val="16"/>
      </w:rPr>
      <w:t xml:space="preserve"> </w:t>
    </w:r>
  </w:p>
  <w:p w:rsidR="0099644D" w:rsidRPr="00E7009E" w:rsidRDefault="0099644D">
    <w:pPr>
      <w:pStyle w:val="Footer"/>
      <w:tabs>
        <w:tab w:val="clear" w:pos="4153"/>
        <w:tab w:val="clear" w:pos="8306"/>
        <w:tab w:val="center" w:pos="4617"/>
        <w:tab w:val="right" w:pos="9923"/>
      </w:tabs>
      <w:spacing w:after="0" w:line="240" w:lineRule="auto"/>
      <w:ind w:left="-855" w:firstLine="0"/>
      <w:jc w:val="left"/>
      <w:rPr>
        <w:rFonts w:ascii="Times New Roman CYR" w:hAnsi="Times New Roman CYR"/>
        <w:b/>
        <w:color w:val="000000"/>
        <w:sz w:val="16"/>
      </w:rPr>
    </w:pPr>
    <w:r w:rsidRPr="00E7009E">
      <w:rPr>
        <w:rFonts w:ascii="Times New Roman CYR" w:hAnsi="Times New Roman CYR"/>
        <w:b/>
        <w:color w:val="000000"/>
        <w:sz w:val="16"/>
      </w:rPr>
      <w:t>ул.</w:t>
    </w:r>
    <w:r>
      <w:rPr>
        <w:rFonts w:ascii="Times New Roman CYR" w:hAnsi="Times New Roman CYR"/>
        <w:b/>
        <w:color w:val="000000"/>
        <w:sz w:val="16"/>
      </w:rPr>
      <w:t xml:space="preserve"> </w:t>
    </w:r>
    <w:r w:rsidRPr="00E7009E">
      <w:rPr>
        <w:rFonts w:ascii="Times New Roman CYR" w:hAnsi="Times New Roman CYR"/>
        <w:b/>
        <w:color w:val="000000"/>
        <w:sz w:val="16"/>
      </w:rPr>
      <w:t>”</w:t>
    </w:r>
    <w:proofErr w:type="spellStart"/>
    <w:r w:rsidRPr="00E7009E">
      <w:rPr>
        <w:rFonts w:ascii="Times New Roman CYR" w:hAnsi="Times New Roman CYR"/>
        <w:b/>
        <w:color w:val="000000"/>
        <w:sz w:val="16"/>
      </w:rPr>
      <w:t>Г.С.Раковски</w:t>
    </w:r>
    <w:proofErr w:type="spellEnd"/>
    <w:r w:rsidRPr="00E7009E">
      <w:rPr>
        <w:rFonts w:ascii="Times New Roman CYR" w:hAnsi="Times New Roman CYR"/>
        <w:b/>
        <w:color w:val="000000"/>
        <w:sz w:val="16"/>
      </w:rPr>
      <w:t>” № 102</w:t>
    </w:r>
    <w:r>
      <w:rPr>
        <w:rFonts w:ascii="Times New Roman CYR" w:hAnsi="Times New Roman CYR"/>
        <w:b/>
        <w:color w:val="000000"/>
        <w:sz w:val="16"/>
      </w:rPr>
      <w:tab/>
    </w:r>
    <w:r w:rsidRPr="00E7009E">
      <w:rPr>
        <w:rFonts w:ascii="Times New Roman CYR" w:hAnsi="Times New Roman CYR"/>
        <w:b/>
        <w:color w:val="000000"/>
        <w:sz w:val="16"/>
      </w:rPr>
      <w:t>факс: 980 68 63</w:t>
    </w:r>
    <w:r>
      <w:rPr>
        <w:rFonts w:ascii="Times New Roman CYR" w:hAnsi="Times New Roman CYR"/>
        <w:b/>
        <w:color w:val="000000"/>
        <w:sz w:val="16"/>
      </w:rPr>
      <w:tab/>
    </w:r>
    <w:r>
      <w:rPr>
        <w:rFonts w:ascii="Times New Roman" w:hAnsi="Times New Roman"/>
        <w:b/>
        <w:color w:val="000000"/>
        <w:sz w:val="16"/>
        <w:lang w:val="en-US"/>
      </w:rPr>
      <w:t>www</w:t>
    </w:r>
    <w:r w:rsidRPr="00E7009E">
      <w:rPr>
        <w:rFonts w:ascii="Times New Roman" w:hAnsi="Times New Roman"/>
        <w:b/>
        <w:color w:val="000000"/>
        <w:sz w:val="16"/>
      </w:rPr>
      <w:t>.</w:t>
    </w:r>
    <w:proofErr w:type="spellStart"/>
    <w:r>
      <w:rPr>
        <w:rFonts w:ascii="Times New Roman CYR" w:hAnsi="Times New Roman CYR"/>
        <w:b/>
        <w:color w:val="000000"/>
        <w:sz w:val="16"/>
        <w:lang w:val="en-US"/>
      </w:rPr>
      <w:t>minfin</w:t>
    </w:r>
    <w:proofErr w:type="spellEnd"/>
    <w:r w:rsidRPr="00E7009E">
      <w:rPr>
        <w:rFonts w:ascii="Times New Roman CYR" w:hAnsi="Times New Roman CYR"/>
        <w:b/>
        <w:color w:val="000000"/>
        <w:sz w:val="16"/>
      </w:rPr>
      <w:t>.</w:t>
    </w:r>
    <w:proofErr w:type="spellStart"/>
    <w:r>
      <w:rPr>
        <w:rFonts w:ascii="Times New Roman CYR" w:hAnsi="Times New Roman CYR"/>
        <w:b/>
        <w:color w:val="000000"/>
        <w:sz w:val="16"/>
        <w:lang w:val="en-US"/>
      </w:rPr>
      <w:t>bg</w:t>
    </w:r>
    <w:proofErr w:type="spellEnd"/>
    <w:r w:rsidRPr="00E7009E">
      <w:rPr>
        <w:rFonts w:ascii="Times New Roman CYR" w:hAnsi="Times New Roman CYR"/>
        <w:b/>
        <w:color w:val="000000"/>
        <w:sz w:val="16"/>
      </w:rPr>
      <w:t xml:space="preserve"> </w:t>
    </w:r>
  </w:p>
  <w:p w:rsidR="0099644D" w:rsidRDefault="0099644D">
    <w:pPr>
      <w:pStyle w:val="Footer"/>
      <w:tabs>
        <w:tab w:val="clear" w:pos="4153"/>
        <w:tab w:val="clear" w:pos="8306"/>
        <w:tab w:val="center" w:pos="4617"/>
        <w:tab w:val="right" w:pos="10773"/>
      </w:tabs>
      <w:spacing w:after="0" w:line="240" w:lineRule="auto"/>
      <w:ind w:firstLine="0"/>
      <w:jc w:val="left"/>
    </w:pPr>
    <w:r w:rsidRPr="00E7009E">
      <w:rPr>
        <w:rFonts w:ascii="Times New Roman CYR" w:hAnsi="Times New Roman CYR"/>
        <w:b/>
        <w:color w:val="000000"/>
        <w:sz w:val="16"/>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EC6" w:rsidRDefault="00183EC6">
      <w:r>
        <w:separator/>
      </w:r>
    </w:p>
  </w:footnote>
  <w:footnote w:type="continuationSeparator" w:id="0">
    <w:p w:rsidR="00183EC6" w:rsidRDefault="00183EC6">
      <w:r>
        <w:continuationSeparator/>
      </w:r>
    </w:p>
  </w:footnote>
  <w:footnote w:id="1">
    <w:p w:rsidR="00AC54F0" w:rsidRPr="005C0BC1" w:rsidRDefault="00AC54F0" w:rsidP="00AC54F0">
      <w:pPr>
        <w:pStyle w:val="FootnoteText"/>
      </w:pPr>
      <w:r w:rsidRPr="005C0BC1">
        <w:rPr>
          <w:rStyle w:val="FootnoteReference"/>
        </w:rPr>
        <w:footnoteRef/>
      </w:r>
      <w:r w:rsidRPr="005C0BC1">
        <w:t xml:space="preserve"> </w:t>
      </w:r>
      <w:r w:rsidRPr="005C0BC1">
        <w:rPr>
          <w:rFonts w:ascii="Times New Roman" w:eastAsia="Calibri" w:hAnsi="Times New Roman"/>
          <w:sz w:val="18"/>
          <w:szCs w:val="24"/>
          <w:lang w:eastAsia="en-GB"/>
        </w:rPr>
        <w:t>Вх. № 04-07-87/31.05.2022 г. (изх. № Е-04-19-172/30.05.2022 г. на МЕ) и Вх. № 04-07-87/02.06.2022 г. (изх. № Е-04-19-172/02.06.2022 г. на МЕ) и Вх. № 04-07-87/03.06.2022 г. (изх. № Е-04-19-172/03.06.2022 г. на МЕ)</w:t>
      </w:r>
    </w:p>
  </w:footnote>
  <w:footnote w:id="2">
    <w:p w:rsidR="00AC54F0" w:rsidRDefault="00AC54F0" w:rsidP="00AC54F0">
      <w:pPr>
        <w:pStyle w:val="FootnoteText"/>
      </w:pPr>
      <w:r w:rsidRPr="005C0BC1">
        <w:rPr>
          <w:rStyle w:val="FootnoteReference"/>
        </w:rPr>
        <w:footnoteRef/>
      </w:r>
      <w:r w:rsidRPr="005C0BC1">
        <w:t xml:space="preserve"> </w:t>
      </w:r>
      <w:r w:rsidRPr="005C0BC1">
        <w:rPr>
          <w:rFonts w:ascii="Times New Roman" w:eastAsia="Calibri" w:hAnsi="Times New Roman"/>
          <w:sz w:val="18"/>
          <w:szCs w:val="24"/>
          <w:lang w:eastAsia="en-GB"/>
        </w:rPr>
        <w:t xml:space="preserve">Вх. № 26-00-437/30.05.2022 г. (изх. № 04-04-64(1)/30.05.2022 г. на </w:t>
      </w:r>
      <w:proofErr w:type="spellStart"/>
      <w:r w:rsidRPr="005C0BC1">
        <w:rPr>
          <w:rFonts w:ascii="Times New Roman" w:eastAsia="Calibri" w:hAnsi="Times New Roman"/>
          <w:sz w:val="18"/>
          <w:szCs w:val="24"/>
          <w:lang w:eastAsia="en-GB"/>
        </w:rPr>
        <w:t>Булгартрансгаз</w:t>
      </w:r>
      <w:proofErr w:type="spellEnd"/>
      <w:r w:rsidRPr="005C0BC1">
        <w:rPr>
          <w:rFonts w:ascii="Times New Roman" w:eastAsia="Calibri" w:hAnsi="Times New Roman"/>
          <w:sz w:val="18"/>
          <w:szCs w:val="24"/>
          <w:lang w:eastAsia="en-GB"/>
        </w:rPr>
        <w:t xml:space="preserve"> ЕАД) и Вх. № 26-00-437/02.05.2022 г. (изх. № 04-04-64(2)/02.06.2022 г. на </w:t>
      </w:r>
      <w:proofErr w:type="spellStart"/>
      <w:r w:rsidRPr="005C0BC1">
        <w:rPr>
          <w:rFonts w:ascii="Times New Roman" w:eastAsia="Calibri" w:hAnsi="Times New Roman"/>
          <w:sz w:val="18"/>
          <w:szCs w:val="24"/>
          <w:lang w:eastAsia="en-GB"/>
        </w:rPr>
        <w:t>Булгартрансгаз</w:t>
      </w:r>
      <w:proofErr w:type="spellEnd"/>
      <w:r w:rsidRPr="005C0BC1">
        <w:rPr>
          <w:rFonts w:ascii="Times New Roman" w:eastAsia="Calibri" w:hAnsi="Times New Roman"/>
          <w:sz w:val="18"/>
          <w:szCs w:val="24"/>
          <w:lang w:eastAsia="en-GB"/>
        </w:rPr>
        <w:t xml:space="preserve"> ЕАД)</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1AD" w:rsidRDefault="000B21A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1AD" w:rsidRDefault="000B21A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44D" w:rsidRDefault="001669E4">
    <w:pPr>
      <w:pStyle w:val="Header"/>
      <w:ind w:left="-456" w:firstLine="0"/>
      <w:rPr>
        <w:rFonts w:ascii="Times New Roman CYR" w:hAnsi="Times New Roman CYR"/>
        <w:color w:val="000000"/>
        <w:sz w:val="28"/>
      </w:rPr>
    </w:pPr>
    <w:r>
      <w:rPr>
        <w:rFonts w:ascii="Times New Roman CYR" w:hAnsi="Times New Roman CYR"/>
        <w:noProof/>
        <w:color w:val="000000"/>
        <w:sz w:val="20"/>
        <w:lang w:eastAsia="bg-BG"/>
      </w:rPr>
      <mc:AlternateContent>
        <mc:Choice Requires="wps">
          <w:drawing>
            <wp:anchor distT="0" distB="0" distL="114300" distR="114300" simplePos="0" relativeHeight="251658240" behindDoc="0" locked="0" layoutInCell="0" allowOverlap="1" wp14:anchorId="4C0771CD" wp14:editId="54A59D4A">
              <wp:simplePos x="0" y="0"/>
              <wp:positionH relativeFrom="column">
                <wp:posOffset>-321945</wp:posOffset>
              </wp:positionH>
              <wp:positionV relativeFrom="paragraph">
                <wp:posOffset>934720</wp:posOffset>
              </wp:positionV>
              <wp:extent cx="6448425" cy="1905"/>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48425" cy="1905"/>
                      </a:xfrm>
                      <a:prstGeom prst="line">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9A7159" id="Line 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5pt,73.6pt" to="482.4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" o:allowincell="f" strokeweight=".15pt"/>
          </w:pict>
        </mc:Fallback>
      </mc:AlternateContent>
    </w:r>
    <w:r>
      <w:rPr>
        <w:rFonts w:ascii="Times New Roman CYR" w:hAnsi="Times New Roman CYR"/>
        <w:noProof/>
        <w:color w:val="000000"/>
        <w:sz w:val="20"/>
        <w:lang w:eastAsia="bg-BG"/>
      </w:rPr>
      <mc:AlternateContent>
        <mc:Choice Requires="wps">
          <w:drawing>
            <wp:anchor distT="0" distB="0" distL="114300" distR="114300" simplePos="0" relativeHeight="251659264" behindDoc="0" locked="0" layoutInCell="0" allowOverlap="1" wp14:anchorId="708FF539" wp14:editId="5DBF87A3">
              <wp:simplePos x="0" y="0"/>
              <wp:positionH relativeFrom="column">
                <wp:posOffset>-325755</wp:posOffset>
              </wp:positionH>
              <wp:positionV relativeFrom="paragraph">
                <wp:posOffset>964565</wp:posOffset>
              </wp:positionV>
              <wp:extent cx="6446520"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6520" cy="0"/>
                      </a:xfrm>
                      <a:prstGeom prst="line">
                        <a:avLst/>
                      </a:prstGeom>
                      <a:noFill/>
                      <a:ln w="19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BFB92"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75.95pt" to="481.95pt,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hr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" o:allowincell="f" strokeweight=".15pt"/>
          </w:pict>
        </mc:Fallback>
      </mc:AlternateContent>
    </w:r>
    <w:r>
      <w:rPr>
        <w:rFonts w:ascii="Times New Roman CYR" w:hAnsi="Times New Roman CYR"/>
        <w:noProof/>
        <w:color w:val="000000"/>
        <w:sz w:val="20"/>
        <w:lang w:eastAsia="bg-BG"/>
      </w:rPr>
      <mc:AlternateContent>
        <mc:Choice Requires="wps">
          <w:drawing>
            <wp:anchor distT="0" distB="0" distL="114300" distR="114300" simplePos="0" relativeHeight="251656192" behindDoc="0" locked="0" layoutInCell="0" allowOverlap="1" wp14:anchorId="17C362B1" wp14:editId="3DADD80C">
              <wp:simplePos x="0" y="0"/>
              <wp:positionH relativeFrom="column">
                <wp:posOffset>977265</wp:posOffset>
              </wp:positionH>
              <wp:positionV relativeFrom="paragraph">
                <wp:posOffset>173355</wp:posOffset>
              </wp:positionV>
              <wp:extent cx="5284470" cy="76771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470" cy="767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9644D" w:rsidRDefault="0099644D">
                          <w:pPr>
                            <w:pStyle w:val="Heading1"/>
                            <w:tabs>
                              <w:tab w:val="center" w:pos="3705"/>
                            </w:tabs>
                            <w:jc w:val="left"/>
                            <w:rPr>
                              <w:rFonts w:ascii="Times New Roman" w:hAnsi="Times New Roman"/>
                              <w:sz w:val="28"/>
                              <w:lang w:val="bg-BG"/>
                            </w:rPr>
                          </w:pPr>
                          <w:r>
                            <w:rPr>
                              <w:lang w:val="bg-BG"/>
                            </w:rPr>
                            <w:tab/>
                          </w:r>
                          <w:r>
                            <w:rPr>
                              <w:rFonts w:ascii="Times New Roman" w:hAnsi="Times New Roman"/>
                              <w:sz w:val="28"/>
                            </w:rPr>
                            <w:t>РЕПУБЛИКА БЪЛГАРИЯ</w:t>
                          </w:r>
                        </w:p>
                        <w:p w:rsidR="0099644D" w:rsidRDefault="0099644D">
                          <w:pPr>
                            <w:pStyle w:val="Heading1"/>
                            <w:tabs>
                              <w:tab w:val="center" w:pos="3705"/>
                            </w:tabs>
                            <w:spacing w:before="240"/>
                            <w:jc w:val="left"/>
                            <w:rPr>
                              <w:spacing w:val="32"/>
                              <w:sz w:val="28"/>
                            </w:rPr>
                          </w:pPr>
                          <w:r>
                            <w:rPr>
                              <w:rFonts w:ascii="Times New Roman" w:hAnsi="Times New Roman"/>
                              <w:spacing w:val="32"/>
                              <w:sz w:val="32"/>
                              <w:lang w:val="bg-BG"/>
                            </w:rPr>
                            <w:tab/>
                          </w:r>
                          <w:r>
                            <w:rPr>
                              <w:rFonts w:ascii="Times New Roman" w:hAnsi="Times New Roman"/>
                              <w:spacing w:val="32"/>
                              <w:sz w:val="28"/>
                            </w:rPr>
                            <w:t>МИНИСТЕРСТВО</w:t>
                          </w:r>
                          <w:r>
                            <w:rPr>
                              <w:rFonts w:ascii="Times New Roman" w:hAnsi="Times New Roman"/>
                              <w:spacing w:val="40"/>
                              <w:sz w:val="28"/>
                            </w:rPr>
                            <w:t xml:space="preserve"> </w:t>
                          </w:r>
                          <w:r>
                            <w:rPr>
                              <w:rFonts w:ascii="Times New Roman" w:hAnsi="Times New Roman"/>
                              <w:spacing w:val="32"/>
                              <w:sz w:val="28"/>
                            </w:rPr>
                            <w:t>НА</w:t>
                          </w:r>
                          <w:r>
                            <w:rPr>
                              <w:rFonts w:ascii="Times New Roman" w:hAnsi="Times New Roman"/>
                              <w:spacing w:val="40"/>
                              <w:sz w:val="28"/>
                            </w:rPr>
                            <w:t xml:space="preserve"> </w:t>
                          </w:r>
                          <w:r>
                            <w:rPr>
                              <w:rFonts w:ascii="Times New Roman" w:hAnsi="Times New Roman"/>
                              <w:spacing w:val="32"/>
                              <w:sz w:val="28"/>
                            </w:rPr>
                            <w:t>ФИНАНСИТЕ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362B1" id="_x0000_t202" coordsize="21600,21600" o:spt="202" path="m,l,21600r21600,l21600,xe">
              <v:stroke joinstyle="miter"/>
              <v:path gradientshapeok="t" o:connecttype="rect"/>
            </v:shapetype>
            <v:shape id="Text Box 1" o:spid="_x0000_s1026" type="#_x0000_t202" style="position:absolute;left:0;text-align:left;margin-left:76.95pt;margin-top:13.65pt;width:416.1pt;height:60.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" o:allowincell="f" filled="f" stroked="f">
              <v:textbox>
                <w:txbxContent>
                  <w:p w:rsidR="0099644D" w:rsidRDefault="0099644D">
                    <w:pPr>
                      <w:pStyle w:val="Heading1"/>
                      <w:tabs>
                        <w:tab w:val="center" w:pos="3705"/>
                      </w:tabs>
                      <w:jc w:val="left"/>
                      <w:rPr>
                        <w:rFonts w:ascii="Times New Roman" w:hAnsi="Times New Roman"/>
                        <w:sz w:val="28"/>
                        <w:lang w:val="bg-BG"/>
                      </w:rPr>
                    </w:pPr>
                    <w:r>
                      <w:rPr>
                        <w:lang w:val="bg-BG"/>
                      </w:rPr>
                      <w:tab/>
                    </w:r>
                    <w:r>
                      <w:rPr>
                        <w:rFonts w:ascii="Times New Roman" w:hAnsi="Times New Roman"/>
                        <w:sz w:val="28"/>
                      </w:rPr>
                      <w:t>РЕПУБЛИКА БЪЛГАРИЯ</w:t>
                    </w:r>
                  </w:p>
                  <w:p w:rsidR="0099644D" w:rsidRDefault="0099644D">
                    <w:pPr>
                      <w:pStyle w:val="Heading1"/>
                      <w:tabs>
                        <w:tab w:val="center" w:pos="3705"/>
                      </w:tabs>
                      <w:spacing w:before="240"/>
                      <w:jc w:val="left"/>
                      <w:rPr>
                        <w:spacing w:val="32"/>
                        <w:sz w:val="28"/>
                      </w:rPr>
                    </w:pPr>
                    <w:r>
                      <w:rPr>
                        <w:rFonts w:ascii="Times New Roman" w:hAnsi="Times New Roman"/>
                        <w:spacing w:val="32"/>
                        <w:sz w:val="32"/>
                        <w:lang w:val="bg-BG"/>
                      </w:rPr>
                      <w:tab/>
                    </w:r>
                    <w:r>
                      <w:rPr>
                        <w:rFonts w:ascii="Times New Roman" w:hAnsi="Times New Roman"/>
                        <w:spacing w:val="32"/>
                        <w:sz w:val="28"/>
                      </w:rPr>
                      <w:t>МИНИСТЕРСТВО</w:t>
                    </w:r>
                    <w:r>
                      <w:rPr>
                        <w:rFonts w:ascii="Times New Roman" w:hAnsi="Times New Roman"/>
                        <w:spacing w:val="40"/>
                        <w:sz w:val="28"/>
                      </w:rPr>
                      <w:t xml:space="preserve"> </w:t>
                    </w:r>
                    <w:r>
                      <w:rPr>
                        <w:rFonts w:ascii="Times New Roman" w:hAnsi="Times New Roman"/>
                        <w:spacing w:val="32"/>
                        <w:sz w:val="28"/>
                      </w:rPr>
                      <w:t>НА</w:t>
                    </w:r>
                    <w:r>
                      <w:rPr>
                        <w:rFonts w:ascii="Times New Roman" w:hAnsi="Times New Roman"/>
                        <w:spacing w:val="40"/>
                        <w:sz w:val="28"/>
                      </w:rPr>
                      <w:t xml:space="preserve"> </w:t>
                    </w:r>
                    <w:r>
                      <w:rPr>
                        <w:rFonts w:ascii="Times New Roman" w:hAnsi="Times New Roman"/>
                        <w:spacing w:val="32"/>
                        <w:sz w:val="28"/>
                      </w:rPr>
                      <w:t>ФИНАНСИТЕ</w:t>
                    </w:r>
                  </w:p>
                </w:txbxContent>
              </v:textbox>
            </v:shape>
          </w:pict>
        </mc:Fallback>
      </mc:AlternateContent>
    </w:r>
    <w:r>
      <w:rPr>
        <w:rFonts w:ascii="Times New Roman CYR" w:hAnsi="Times New Roman CYR"/>
        <w:noProof/>
        <w:color w:val="000000"/>
        <w:sz w:val="28"/>
        <w:lang w:eastAsia="bg-BG"/>
      </w:rPr>
      <w:drawing>
        <wp:inline distT="0" distB="0" distL="0" distR="0" wp14:anchorId="51462398" wp14:editId="0AD052E4">
          <wp:extent cx="99060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47725"/>
                  </a:xfrm>
                  <a:prstGeom prst="rect">
                    <a:avLst/>
                  </a:prstGeom>
                  <a:noFill/>
                  <a:ln>
                    <a:noFill/>
                  </a:ln>
                </pic:spPr>
              </pic:pic>
            </a:graphicData>
          </a:graphic>
        </wp:inline>
      </w:drawing>
    </w:r>
  </w:p>
  <w:p w:rsidR="0099644D" w:rsidRDefault="0099644D">
    <w:pPr>
      <w:autoSpaceDE w:val="0"/>
      <w:autoSpaceDN w:val="0"/>
      <w:adjustRightInd w:val="0"/>
      <w:spacing w:before="240" w:after="0" w:line="240" w:lineRule="auto"/>
      <w:ind w:left="-741" w:firstLine="228"/>
      <w:jc w:val="left"/>
      <w:rPr>
        <w:rFonts w:ascii="Times New Roman CYR" w:hAnsi="Times New Roman CYR"/>
        <w:sz w:val="22"/>
        <w:lang w:val="en-US"/>
      </w:rPr>
    </w:pPr>
    <w:proofErr w:type="spellStart"/>
    <w:r>
      <w:rPr>
        <w:rFonts w:ascii="Times New Roman CYR" w:hAnsi="Times New Roman CYR"/>
        <w:color w:val="000000"/>
        <w:sz w:val="22"/>
        <w:lang w:val="en-US"/>
      </w:rPr>
      <w:t>Из</w:t>
    </w:r>
    <w:r>
      <w:rPr>
        <w:rFonts w:ascii="Times New Roman CYR" w:hAnsi="Times New Roman CYR"/>
        <w:sz w:val="22"/>
        <w:lang w:val="en-US"/>
      </w:rPr>
      <w:t>х</w:t>
    </w:r>
    <w:proofErr w:type="spellEnd"/>
    <w:r>
      <w:rPr>
        <w:rFonts w:ascii="Times New Roman CYR" w:hAnsi="Times New Roman CYR"/>
        <w:sz w:val="22"/>
        <w:lang w:val="en-US"/>
      </w:rPr>
      <w:t>. № ..............................</w:t>
    </w:r>
  </w:p>
  <w:p w:rsidR="0099644D" w:rsidRDefault="0099644D">
    <w:pPr>
      <w:autoSpaceDE w:val="0"/>
      <w:autoSpaceDN w:val="0"/>
      <w:adjustRightInd w:val="0"/>
      <w:spacing w:after="0" w:line="180" w:lineRule="atLeast"/>
      <w:ind w:left="-741" w:firstLine="228"/>
      <w:jc w:val="left"/>
      <w:rPr>
        <w:rFonts w:ascii="Times New Roman CYR" w:hAnsi="Times New Roman CYR"/>
        <w:sz w:val="22"/>
        <w:lang w:val="en-US"/>
      </w:rPr>
    </w:pPr>
  </w:p>
  <w:p w:rsidR="0099644D" w:rsidRDefault="006E374E">
    <w:pPr>
      <w:pStyle w:val="Header"/>
      <w:tabs>
        <w:tab w:val="clear" w:pos="4153"/>
      </w:tabs>
      <w:spacing w:after="0" w:line="240" w:lineRule="auto"/>
      <w:ind w:left="-743" w:firstLine="228"/>
      <w:jc w:val="left"/>
    </w:pPr>
    <w:proofErr w:type="spellStart"/>
    <w:r>
      <w:rPr>
        <w:rFonts w:ascii="Times New Roman CYR" w:hAnsi="Times New Roman CYR"/>
        <w:sz w:val="22"/>
        <w:lang w:val="en-US"/>
      </w:rPr>
      <w:t>София</w:t>
    </w:r>
    <w:proofErr w:type="spellEnd"/>
    <w:r>
      <w:rPr>
        <w:rFonts w:ascii="Times New Roman CYR" w:hAnsi="Times New Roman CYR"/>
        <w:sz w:val="22"/>
        <w:lang w:val="en-US"/>
      </w:rPr>
      <w:t>, ................ 20</w:t>
    </w:r>
    <w:r w:rsidR="0066716F">
      <w:rPr>
        <w:rFonts w:ascii="Times New Roman CYR" w:hAnsi="Times New Roman CYR"/>
        <w:sz w:val="22"/>
      </w:rPr>
      <w:t>2</w:t>
    </w:r>
    <w:r w:rsidR="0099644D">
      <w:rPr>
        <w:rFonts w:ascii="Times New Roman CYR" w:hAnsi="Times New Roman CYR"/>
        <w:sz w:val="22"/>
        <w:lang w:val="en-US"/>
      </w:rPr>
      <w:t xml:space="preserve"> ... г.</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8316B"/>
    <w:multiLevelType w:val="hybridMultilevel"/>
    <w:tmpl w:val="AA82D676"/>
    <w:lvl w:ilvl="0" w:tplc="1DE07EA8">
      <w:start w:val="1"/>
      <w:numFmt w:val="bullet"/>
      <w:pStyle w:val="ListParagraph"/>
      <w:lvlText w:val=""/>
      <w:lvlJc w:val="left"/>
      <w:pPr>
        <w:ind w:left="927" w:hanging="360"/>
      </w:pPr>
      <w:rPr>
        <w:rFonts w:ascii="Symbol" w:hAnsi="Symbol" w:hint="default"/>
        <w:b/>
        <w:i w:val="0"/>
        <w:color w:val="auto"/>
        <w:position w:val="0"/>
        <w:sz w:val="20"/>
        <w:u w:color="C0504D" w:themeColor="accent2"/>
      </w:rPr>
    </w:lvl>
    <w:lvl w:ilvl="1" w:tplc="ECAE7C3A">
      <w:numFmt w:val="bullet"/>
      <w:lvlText w:val="•"/>
      <w:lvlJc w:val="left"/>
      <w:pPr>
        <w:ind w:left="2505" w:hanging="705"/>
      </w:pPr>
      <w:rPr>
        <w:rFonts w:ascii="Times New Roman" w:eastAsia="Times New Roman" w:hAnsi="Times New Roman"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C437F6"/>
    <w:multiLevelType w:val="hybridMultilevel"/>
    <w:tmpl w:val="1548B4EA"/>
    <w:lvl w:ilvl="0" w:tplc="0402000B">
      <w:start w:val="1"/>
      <w:numFmt w:val="bullet"/>
      <w:lvlText w:val=""/>
      <w:lvlJc w:val="left"/>
      <w:pPr>
        <w:ind w:left="1065" w:hanging="705"/>
      </w:pPr>
      <w:rPr>
        <w:rFonts w:ascii="Wingdings" w:hAnsi="Wingdings" w:hint="default"/>
      </w:rPr>
    </w:lvl>
    <w:lvl w:ilvl="1" w:tplc="0504E2F0">
      <w:numFmt w:val="bullet"/>
      <w:lvlText w:val=""/>
      <w:lvlJc w:val="left"/>
      <w:pPr>
        <w:ind w:left="1785" w:hanging="705"/>
      </w:pPr>
      <w:rPr>
        <w:rFonts w:ascii="Symbol" w:eastAsia="Times New Roman" w:hAnsi="Symbol"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F72106A"/>
    <w:multiLevelType w:val="hybridMultilevel"/>
    <w:tmpl w:val="B770D00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15:restartNumberingAfterBreak="0">
    <w:nsid w:val="28C8405C"/>
    <w:multiLevelType w:val="hybridMultilevel"/>
    <w:tmpl w:val="86E8180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312234AD"/>
    <w:multiLevelType w:val="hybridMultilevel"/>
    <w:tmpl w:val="0AF489C6"/>
    <w:lvl w:ilvl="0" w:tplc="2EF0106E">
      <w:numFmt w:val="bullet"/>
      <w:lvlText w:val="•"/>
      <w:lvlJc w:val="left"/>
      <w:pPr>
        <w:ind w:left="1065" w:hanging="705"/>
      </w:pPr>
      <w:rPr>
        <w:rFonts w:ascii="Times New Roman" w:eastAsia="Times New Roman" w:hAnsi="Times New Roman" w:cs="Times New Roman" w:hint="default"/>
      </w:rPr>
    </w:lvl>
    <w:lvl w:ilvl="1" w:tplc="0504E2F0">
      <w:numFmt w:val="bullet"/>
      <w:lvlText w:val=""/>
      <w:lvlJc w:val="left"/>
      <w:pPr>
        <w:ind w:left="1785" w:hanging="705"/>
      </w:pPr>
      <w:rPr>
        <w:rFonts w:ascii="Symbol" w:eastAsia="Times New Roman" w:hAnsi="Symbol"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B5D11CB"/>
    <w:multiLevelType w:val="hybridMultilevel"/>
    <w:tmpl w:val="BCA69F68"/>
    <w:lvl w:ilvl="0" w:tplc="0402000B">
      <w:start w:val="1"/>
      <w:numFmt w:val="bullet"/>
      <w:lvlText w:val=""/>
      <w:lvlJc w:val="left"/>
      <w:pPr>
        <w:ind w:left="1065" w:hanging="705"/>
      </w:pPr>
      <w:rPr>
        <w:rFonts w:ascii="Wingdings" w:hAnsi="Wingdings" w:hint="default"/>
      </w:rPr>
    </w:lvl>
    <w:lvl w:ilvl="1" w:tplc="0504E2F0">
      <w:numFmt w:val="bullet"/>
      <w:lvlText w:val=""/>
      <w:lvlJc w:val="left"/>
      <w:pPr>
        <w:ind w:left="1785" w:hanging="705"/>
      </w:pPr>
      <w:rPr>
        <w:rFonts w:ascii="Symbol" w:eastAsia="Times New Roman" w:hAnsi="Symbol"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EED1058"/>
    <w:multiLevelType w:val="hybridMultilevel"/>
    <w:tmpl w:val="57B8A536"/>
    <w:lvl w:ilvl="0" w:tplc="04020001">
      <w:start w:val="1"/>
      <w:numFmt w:val="bullet"/>
      <w:lvlText w:val=""/>
      <w:lvlJc w:val="left"/>
      <w:pPr>
        <w:ind w:left="1426" w:hanging="360"/>
      </w:pPr>
      <w:rPr>
        <w:rFonts w:ascii="Symbol" w:hAnsi="Symbol" w:hint="default"/>
      </w:rPr>
    </w:lvl>
    <w:lvl w:ilvl="1" w:tplc="04020003">
      <w:start w:val="1"/>
      <w:numFmt w:val="bullet"/>
      <w:lvlText w:val="o"/>
      <w:lvlJc w:val="left"/>
      <w:pPr>
        <w:ind w:left="2146" w:hanging="360"/>
      </w:pPr>
      <w:rPr>
        <w:rFonts w:ascii="Courier New" w:hAnsi="Courier New" w:cs="Courier New" w:hint="default"/>
      </w:rPr>
    </w:lvl>
    <w:lvl w:ilvl="2" w:tplc="04020005" w:tentative="1">
      <w:start w:val="1"/>
      <w:numFmt w:val="bullet"/>
      <w:lvlText w:val=""/>
      <w:lvlJc w:val="left"/>
      <w:pPr>
        <w:ind w:left="2866" w:hanging="360"/>
      </w:pPr>
      <w:rPr>
        <w:rFonts w:ascii="Wingdings" w:hAnsi="Wingdings" w:hint="default"/>
      </w:rPr>
    </w:lvl>
    <w:lvl w:ilvl="3" w:tplc="04020001" w:tentative="1">
      <w:start w:val="1"/>
      <w:numFmt w:val="bullet"/>
      <w:lvlText w:val=""/>
      <w:lvlJc w:val="left"/>
      <w:pPr>
        <w:ind w:left="3586" w:hanging="360"/>
      </w:pPr>
      <w:rPr>
        <w:rFonts w:ascii="Symbol" w:hAnsi="Symbol" w:hint="default"/>
      </w:rPr>
    </w:lvl>
    <w:lvl w:ilvl="4" w:tplc="04020003" w:tentative="1">
      <w:start w:val="1"/>
      <w:numFmt w:val="bullet"/>
      <w:lvlText w:val="o"/>
      <w:lvlJc w:val="left"/>
      <w:pPr>
        <w:ind w:left="4306" w:hanging="360"/>
      </w:pPr>
      <w:rPr>
        <w:rFonts w:ascii="Courier New" w:hAnsi="Courier New" w:cs="Courier New" w:hint="default"/>
      </w:rPr>
    </w:lvl>
    <w:lvl w:ilvl="5" w:tplc="04020005" w:tentative="1">
      <w:start w:val="1"/>
      <w:numFmt w:val="bullet"/>
      <w:lvlText w:val=""/>
      <w:lvlJc w:val="left"/>
      <w:pPr>
        <w:ind w:left="5026" w:hanging="360"/>
      </w:pPr>
      <w:rPr>
        <w:rFonts w:ascii="Wingdings" w:hAnsi="Wingdings" w:hint="default"/>
      </w:rPr>
    </w:lvl>
    <w:lvl w:ilvl="6" w:tplc="04020001" w:tentative="1">
      <w:start w:val="1"/>
      <w:numFmt w:val="bullet"/>
      <w:lvlText w:val=""/>
      <w:lvlJc w:val="left"/>
      <w:pPr>
        <w:ind w:left="5746" w:hanging="360"/>
      </w:pPr>
      <w:rPr>
        <w:rFonts w:ascii="Symbol" w:hAnsi="Symbol" w:hint="default"/>
      </w:rPr>
    </w:lvl>
    <w:lvl w:ilvl="7" w:tplc="04020003" w:tentative="1">
      <w:start w:val="1"/>
      <w:numFmt w:val="bullet"/>
      <w:lvlText w:val="o"/>
      <w:lvlJc w:val="left"/>
      <w:pPr>
        <w:ind w:left="6466" w:hanging="360"/>
      </w:pPr>
      <w:rPr>
        <w:rFonts w:ascii="Courier New" w:hAnsi="Courier New" w:cs="Courier New" w:hint="default"/>
      </w:rPr>
    </w:lvl>
    <w:lvl w:ilvl="8" w:tplc="04020005" w:tentative="1">
      <w:start w:val="1"/>
      <w:numFmt w:val="bullet"/>
      <w:lvlText w:val=""/>
      <w:lvlJc w:val="left"/>
      <w:pPr>
        <w:ind w:left="7186" w:hanging="360"/>
      </w:pPr>
      <w:rPr>
        <w:rFonts w:ascii="Wingdings" w:hAnsi="Wingdings" w:hint="default"/>
      </w:rPr>
    </w:lvl>
  </w:abstractNum>
  <w:abstractNum w:abstractNumId="7" w15:restartNumberingAfterBreak="0">
    <w:nsid w:val="5213639F"/>
    <w:multiLevelType w:val="hybridMultilevel"/>
    <w:tmpl w:val="21B0BB9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6F7107FE"/>
    <w:multiLevelType w:val="hybridMultilevel"/>
    <w:tmpl w:val="47B2D0D8"/>
    <w:lvl w:ilvl="0" w:tplc="35BE0D0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9" w15:restartNumberingAfterBreak="0">
    <w:nsid w:val="72736FC1"/>
    <w:multiLevelType w:val="hybridMultilevel"/>
    <w:tmpl w:val="00C8692E"/>
    <w:lvl w:ilvl="0" w:tplc="0402000B">
      <w:start w:val="1"/>
      <w:numFmt w:val="bullet"/>
      <w:lvlText w:val=""/>
      <w:lvlJc w:val="left"/>
      <w:pPr>
        <w:tabs>
          <w:tab w:val="num" w:pos="700"/>
        </w:tabs>
        <w:ind w:left="700" w:hanging="360"/>
      </w:pPr>
      <w:rPr>
        <w:rFonts w:ascii="Wingdings" w:hAnsi="Wingding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4"/>
  </w:num>
  <w:num w:numId="3">
    <w:abstractNumId w:val="1"/>
  </w:num>
  <w:num w:numId="4">
    <w:abstractNumId w:val="7"/>
  </w:num>
  <w:num w:numId="5">
    <w:abstractNumId w:val="2"/>
  </w:num>
  <w:num w:numId="6">
    <w:abstractNumId w:val="3"/>
  </w:num>
  <w:num w:numId="7">
    <w:abstractNumId w:val="0"/>
  </w:num>
  <w:num w:numId="8">
    <w:abstractNumId w:val="5"/>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rawingGridVerticalSpacing w:val="39"/>
  <w:displayHorizontalDrawingGridEvery w:val="0"/>
  <w:displayVertic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E4"/>
    <w:rsid w:val="0000451B"/>
    <w:rsid w:val="000129D7"/>
    <w:rsid w:val="000239E2"/>
    <w:rsid w:val="0003111C"/>
    <w:rsid w:val="00040882"/>
    <w:rsid w:val="00054917"/>
    <w:rsid w:val="00075CA1"/>
    <w:rsid w:val="000B21AD"/>
    <w:rsid w:val="000B499D"/>
    <w:rsid w:val="000B6C9A"/>
    <w:rsid w:val="000C50D4"/>
    <w:rsid w:val="000C51D8"/>
    <w:rsid w:val="000D3226"/>
    <w:rsid w:val="000F3F27"/>
    <w:rsid w:val="000F4D24"/>
    <w:rsid w:val="000F7DC4"/>
    <w:rsid w:val="00103805"/>
    <w:rsid w:val="001061EA"/>
    <w:rsid w:val="00107421"/>
    <w:rsid w:val="00117A8A"/>
    <w:rsid w:val="001356F8"/>
    <w:rsid w:val="00152231"/>
    <w:rsid w:val="0015762C"/>
    <w:rsid w:val="00157C95"/>
    <w:rsid w:val="001669E4"/>
    <w:rsid w:val="00183EC6"/>
    <w:rsid w:val="0019626F"/>
    <w:rsid w:val="001A4A28"/>
    <w:rsid w:val="001C53E8"/>
    <w:rsid w:val="001E213A"/>
    <w:rsid w:val="0020634B"/>
    <w:rsid w:val="00206847"/>
    <w:rsid w:val="00235BF4"/>
    <w:rsid w:val="00246C15"/>
    <w:rsid w:val="00251173"/>
    <w:rsid w:val="00261B6A"/>
    <w:rsid w:val="00284CDB"/>
    <w:rsid w:val="00287B61"/>
    <w:rsid w:val="002A0D50"/>
    <w:rsid w:val="002A1AAB"/>
    <w:rsid w:val="002B0620"/>
    <w:rsid w:val="002C3939"/>
    <w:rsid w:val="002C613C"/>
    <w:rsid w:val="002C7198"/>
    <w:rsid w:val="002D7497"/>
    <w:rsid w:val="002E6F0E"/>
    <w:rsid w:val="0030005B"/>
    <w:rsid w:val="00313832"/>
    <w:rsid w:val="00315D7C"/>
    <w:rsid w:val="00354FC3"/>
    <w:rsid w:val="00371219"/>
    <w:rsid w:val="0037526B"/>
    <w:rsid w:val="00384444"/>
    <w:rsid w:val="003879CF"/>
    <w:rsid w:val="003924E0"/>
    <w:rsid w:val="00396C99"/>
    <w:rsid w:val="003A0C61"/>
    <w:rsid w:val="003F48BF"/>
    <w:rsid w:val="00400BD1"/>
    <w:rsid w:val="00433D02"/>
    <w:rsid w:val="00485DC6"/>
    <w:rsid w:val="00491D62"/>
    <w:rsid w:val="004A3BDC"/>
    <w:rsid w:val="004A4075"/>
    <w:rsid w:val="004C22F5"/>
    <w:rsid w:val="004C2349"/>
    <w:rsid w:val="004C5335"/>
    <w:rsid w:val="004D6A75"/>
    <w:rsid w:val="005303AB"/>
    <w:rsid w:val="005467E1"/>
    <w:rsid w:val="005531C8"/>
    <w:rsid w:val="00560520"/>
    <w:rsid w:val="00565AFA"/>
    <w:rsid w:val="00580F83"/>
    <w:rsid w:val="0059291B"/>
    <w:rsid w:val="00595C47"/>
    <w:rsid w:val="00596B88"/>
    <w:rsid w:val="005E3FD6"/>
    <w:rsid w:val="005E4372"/>
    <w:rsid w:val="00613B65"/>
    <w:rsid w:val="00615DD0"/>
    <w:rsid w:val="0061676C"/>
    <w:rsid w:val="0063641F"/>
    <w:rsid w:val="006603E1"/>
    <w:rsid w:val="006663FF"/>
    <w:rsid w:val="00667032"/>
    <w:rsid w:val="0066716F"/>
    <w:rsid w:val="006674AD"/>
    <w:rsid w:val="006752CB"/>
    <w:rsid w:val="006813F6"/>
    <w:rsid w:val="00683DF9"/>
    <w:rsid w:val="006873B0"/>
    <w:rsid w:val="00687833"/>
    <w:rsid w:val="006D08A2"/>
    <w:rsid w:val="006E0F41"/>
    <w:rsid w:val="006E374E"/>
    <w:rsid w:val="006E64C6"/>
    <w:rsid w:val="006F6B6D"/>
    <w:rsid w:val="00722CE3"/>
    <w:rsid w:val="00750A13"/>
    <w:rsid w:val="00756219"/>
    <w:rsid w:val="007607AE"/>
    <w:rsid w:val="0077547E"/>
    <w:rsid w:val="00785131"/>
    <w:rsid w:val="007916CB"/>
    <w:rsid w:val="007938C9"/>
    <w:rsid w:val="00797C87"/>
    <w:rsid w:val="00797E49"/>
    <w:rsid w:val="007D1072"/>
    <w:rsid w:val="007D2C71"/>
    <w:rsid w:val="007D70C1"/>
    <w:rsid w:val="007E0D6B"/>
    <w:rsid w:val="00836FD5"/>
    <w:rsid w:val="00841CEF"/>
    <w:rsid w:val="008551E2"/>
    <w:rsid w:val="00860ACB"/>
    <w:rsid w:val="00871F3A"/>
    <w:rsid w:val="00877981"/>
    <w:rsid w:val="008A06AD"/>
    <w:rsid w:val="008A3C0D"/>
    <w:rsid w:val="008B16F6"/>
    <w:rsid w:val="008C6ED7"/>
    <w:rsid w:val="008D2082"/>
    <w:rsid w:val="008E6A2B"/>
    <w:rsid w:val="008E722A"/>
    <w:rsid w:val="008E77DA"/>
    <w:rsid w:val="00916ADF"/>
    <w:rsid w:val="00944F3A"/>
    <w:rsid w:val="00955888"/>
    <w:rsid w:val="00994A55"/>
    <w:rsid w:val="0099644D"/>
    <w:rsid w:val="009A2699"/>
    <w:rsid w:val="009C3961"/>
    <w:rsid w:val="009F5947"/>
    <w:rsid w:val="009F607B"/>
    <w:rsid w:val="009F716D"/>
    <w:rsid w:val="00A060A3"/>
    <w:rsid w:val="00A178E5"/>
    <w:rsid w:val="00A40F96"/>
    <w:rsid w:val="00A61DA1"/>
    <w:rsid w:val="00AA1C1F"/>
    <w:rsid w:val="00AA48CF"/>
    <w:rsid w:val="00AC1EB0"/>
    <w:rsid w:val="00AC54F0"/>
    <w:rsid w:val="00AF7977"/>
    <w:rsid w:val="00B0205E"/>
    <w:rsid w:val="00B11F8B"/>
    <w:rsid w:val="00B21FB2"/>
    <w:rsid w:val="00B25454"/>
    <w:rsid w:val="00B421E2"/>
    <w:rsid w:val="00B536F1"/>
    <w:rsid w:val="00B55826"/>
    <w:rsid w:val="00B633FA"/>
    <w:rsid w:val="00B7473A"/>
    <w:rsid w:val="00BA4188"/>
    <w:rsid w:val="00BF5101"/>
    <w:rsid w:val="00C13782"/>
    <w:rsid w:val="00C22EAF"/>
    <w:rsid w:val="00C25071"/>
    <w:rsid w:val="00C308CB"/>
    <w:rsid w:val="00C4397B"/>
    <w:rsid w:val="00C45C73"/>
    <w:rsid w:val="00C47F1A"/>
    <w:rsid w:val="00C64E01"/>
    <w:rsid w:val="00C713B8"/>
    <w:rsid w:val="00CB424C"/>
    <w:rsid w:val="00CC419C"/>
    <w:rsid w:val="00CC6844"/>
    <w:rsid w:val="00D16E19"/>
    <w:rsid w:val="00D4001F"/>
    <w:rsid w:val="00D61C40"/>
    <w:rsid w:val="00D70269"/>
    <w:rsid w:val="00D84C50"/>
    <w:rsid w:val="00D91103"/>
    <w:rsid w:val="00D913A2"/>
    <w:rsid w:val="00DA68DA"/>
    <w:rsid w:val="00DB6F94"/>
    <w:rsid w:val="00DC15DD"/>
    <w:rsid w:val="00DC468C"/>
    <w:rsid w:val="00DD4A62"/>
    <w:rsid w:val="00DE4369"/>
    <w:rsid w:val="00E01CA4"/>
    <w:rsid w:val="00E0741B"/>
    <w:rsid w:val="00E40C26"/>
    <w:rsid w:val="00E57B75"/>
    <w:rsid w:val="00E61CBD"/>
    <w:rsid w:val="00E7009E"/>
    <w:rsid w:val="00E77692"/>
    <w:rsid w:val="00E82EE1"/>
    <w:rsid w:val="00E92CDA"/>
    <w:rsid w:val="00EB17EA"/>
    <w:rsid w:val="00F062E6"/>
    <w:rsid w:val="00F127FF"/>
    <w:rsid w:val="00F42A42"/>
    <w:rsid w:val="00F52705"/>
    <w:rsid w:val="00F5562D"/>
    <w:rsid w:val="00F55BD5"/>
    <w:rsid w:val="00F71861"/>
    <w:rsid w:val="00F7226F"/>
    <w:rsid w:val="00F775E7"/>
    <w:rsid w:val="00F93C29"/>
    <w:rsid w:val="00FB4812"/>
    <w:rsid w:val="00FD0EAD"/>
    <w:rsid w:val="00FE1721"/>
    <w:rsid w:val="00FE2EC7"/>
    <w:rsid w:val="00FE6A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37670FD9-4A16-418C-9770-72F51699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360" w:lineRule="auto"/>
      <w:ind w:firstLine="720"/>
      <w:jc w:val="both"/>
    </w:pPr>
    <w:rPr>
      <w:rFonts w:ascii="Arial" w:hAnsi="Arial"/>
      <w:sz w:val="24"/>
      <w:lang w:eastAsia="en-US"/>
    </w:rPr>
  </w:style>
  <w:style w:type="paragraph" w:styleId="Heading1">
    <w:name w:val="heading 1"/>
    <w:basedOn w:val="Normal"/>
    <w:next w:val="Normal"/>
    <w:qFormat/>
    <w:pPr>
      <w:keepNext/>
      <w:autoSpaceDE w:val="0"/>
      <w:autoSpaceDN w:val="0"/>
      <w:adjustRightInd w:val="0"/>
      <w:spacing w:after="0" w:line="240" w:lineRule="auto"/>
      <w:ind w:firstLine="0"/>
      <w:jc w:val="center"/>
      <w:outlineLvl w:val="0"/>
    </w:pPr>
    <w:rPr>
      <w:rFonts w:ascii="Times New Roman CYR" w:hAnsi="Times New Roman CYR"/>
      <w:b/>
      <w:bCs/>
      <w:sz w:val="20"/>
      <w:szCs w:val="24"/>
      <w:lang w:val="en-US"/>
    </w:rPr>
  </w:style>
  <w:style w:type="paragraph" w:styleId="Heading2">
    <w:name w:val="heading 2"/>
    <w:basedOn w:val="Normal"/>
    <w:next w:val="Normal"/>
    <w:qFormat/>
    <w:pPr>
      <w:keepNext/>
      <w:ind w:firstLine="5040"/>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link w:val="BodyTextIndentChar"/>
    <w:rsid w:val="00396C99"/>
    <w:pPr>
      <w:spacing w:after="0" w:line="240" w:lineRule="auto"/>
      <w:ind w:firstLine="1530"/>
    </w:pPr>
    <w:rPr>
      <w:rFonts w:ascii="Times New Roman" w:hAnsi="Times New Roman"/>
      <w:sz w:val="28"/>
    </w:rPr>
  </w:style>
  <w:style w:type="paragraph" w:styleId="BalloonText">
    <w:name w:val="Balloon Text"/>
    <w:basedOn w:val="Normal"/>
    <w:link w:val="BalloonTextChar"/>
    <w:rsid w:val="00F93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93C29"/>
    <w:rPr>
      <w:rFonts w:ascii="Tahoma" w:hAnsi="Tahoma" w:cs="Tahoma"/>
      <w:sz w:val="16"/>
      <w:szCs w:val="16"/>
      <w:lang w:eastAsia="en-US"/>
    </w:rPr>
  </w:style>
  <w:style w:type="character" w:customStyle="1" w:styleId="HeaderChar">
    <w:name w:val="Header Char"/>
    <w:link w:val="Header"/>
    <w:rsid w:val="005E4372"/>
    <w:rPr>
      <w:rFonts w:ascii="Arial" w:hAnsi="Arial"/>
      <w:sz w:val="24"/>
      <w:lang w:eastAsia="en-US"/>
    </w:rPr>
  </w:style>
  <w:style w:type="character" w:customStyle="1" w:styleId="FooterChar">
    <w:name w:val="Footer Char"/>
    <w:basedOn w:val="DefaultParagraphFont"/>
    <w:link w:val="Footer"/>
    <w:uiPriority w:val="99"/>
    <w:rsid w:val="005E4372"/>
    <w:rPr>
      <w:rFonts w:ascii="Arial" w:hAnsi="Arial"/>
      <w:sz w:val="24"/>
      <w:lang w:eastAsia="en-US"/>
    </w:rPr>
  </w:style>
  <w:style w:type="paragraph" w:styleId="ListParagraph">
    <w:name w:val="List Paragraph"/>
    <w:aliases w:val="Recommendatio,Párrafo de lista,Recommendation,OBC Bullet,Dot pt,F5 List Paragraph,No Spacing1,List Paragraph Char Char Char,Indicator Text,Numbered Para 1,Bullet 1,Bullet Points,List Paragraph2,L,3,References,Colorful List - Accent 11"/>
    <w:basedOn w:val="Normal"/>
    <w:link w:val="ListParagraphChar"/>
    <w:uiPriority w:val="34"/>
    <w:qFormat/>
    <w:rsid w:val="0003111C"/>
    <w:pPr>
      <w:numPr>
        <w:numId w:val="7"/>
      </w:numPr>
      <w:spacing w:line="240" w:lineRule="auto"/>
    </w:pPr>
    <w:rPr>
      <w:rFonts w:ascii="Times New Roman" w:eastAsiaTheme="minorEastAsia" w:hAnsi="Times New Roman" w:cstheme="minorBidi"/>
      <w:szCs w:val="22"/>
      <w:lang w:eastAsia="bg-BG"/>
    </w:rPr>
  </w:style>
  <w:style w:type="character" w:customStyle="1" w:styleId="ListParagraphChar">
    <w:name w:val="List Paragraph Char"/>
    <w:aliases w:val="Recommendatio Char,Párrafo de lista Char,Recommendation Char,OBC Bullet Char,Dot pt Char,F5 List Paragraph Char,No Spacing1 Char,List Paragraph Char Char Char Char,Indicator Text Char,Numbered Para 1 Char,Bullet 1 Char,L Char,3 Char"/>
    <w:link w:val="ListParagraph"/>
    <w:uiPriority w:val="34"/>
    <w:qFormat/>
    <w:locked/>
    <w:rsid w:val="0003111C"/>
    <w:rPr>
      <w:rFonts w:eastAsiaTheme="minorEastAsia" w:cstheme="minorBidi"/>
      <w:sz w:val="24"/>
      <w:szCs w:val="22"/>
    </w:rPr>
  </w:style>
  <w:style w:type="paragraph" w:styleId="BodyText">
    <w:name w:val="Body Text"/>
    <w:basedOn w:val="Normal"/>
    <w:link w:val="BodyTextChar"/>
    <w:semiHidden/>
    <w:unhideWhenUsed/>
    <w:rsid w:val="001E213A"/>
  </w:style>
  <w:style w:type="character" w:customStyle="1" w:styleId="BodyTextChar">
    <w:name w:val="Body Text Char"/>
    <w:basedOn w:val="DefaultParagraphFont"/>
    <w:link w:val="BodyText"/>
    <w:semiHidden/>
    <w:rsid w:val="001E213A"/>
    <w:rPr>
      <w:rFonts w:ascii="Arial" w:hAnsi="Arial"/>
      <w:sz w:val="24"/>
      <w:lang w:eastAsia="en-US"/>
    </w:rPr>
  </w:style>
  <w:style w:type="character" w:customStyle="1" w:styleId="BodyTextIndentChar">
    <w:name w:val="Body Text Indent Char"/>
    <w:link w:val="BodyTextIndent"/>
    <w:rsid w:val="006603E1"/>
    <w:rPr>
      <w:sz w:val="28"/>
      <w:lang w:eastAsia="en-US"/>
    </w:rPr>
  </w:style>
  <w:style w:type="paragraph" w:styleId="FootnoteText">
    <w:name w:val="footnote text"/>
    <w:basedOn w:val="Normal"/>
    <w:link w:val="FootnoteTextChar"/>
    <w:semiHidden/>
    <w:unhideWhenUsed/>
    <w:rsid w:val="00AC54F0"/>
    <w:pPr>
      <w:spacing w:after="0" w:line="240" w:lineRule="auto"/>
    </w:pPr>
    <w:rPr>
      <w:sz w:val="20"/>
    </w:rPr>
  </w:style>
  <w:style w:type="character" w:customStyle="1" w:styleId="FootnoteTextChar">
    <w:name w:val="Footnote Text Char"/>
    <w:basedOn w:val="DefaultParagraphFont"/>
    <w:link w:val="FootnoteText"/>
    <w:semiHidden/>
    <w:rsid w:val="00AC54F0"/>
    <w:rPr>
      <w:rFonts w:ascii="Arial" w:hAnsi="Arial"/>
      <w:lang w:eastAsia="en-US"/>
    </w:rPr>
  </w:style>
  <w:style w:type="character" w:styleId="FootnoteReference">
    <w:name w:val="footnote reference"/>
    <w:basedOn w:val="DefaultParagraphFont"/>
    <w:semiHidden/>
    <w:unhideWhenUsed/>
    <w:rsid w:val="00AC54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F81C7-CA9A-4595-89BC-DE1F85B8D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12</Pages>
  <Words>5728</Words>
  <Characters>31548</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М И Н И С Т Ъ Р:</vt:lpstr>
    </vt:vector>
  </TitlesOfParts>
  <Company>Ministry of Finance</Company>
  <LinksUpToDate>false</LinksUpToDate>
  <CharactersWithSpaces>37202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Ъ Р:</dc:title>
  <dc:creator>Рая Соколова</dc:creator>
  <cp:lastModifiedBy>Добрина Стоянова</cp:lastModifiedBy>
  <cp:revision>30</cp:revision>
  <cp:lastPrinted>2022-06-02T12:09:00Z</cp:lastPrinted>
  <dcterms:created xsi:type="dcterms:W3CDTF">2022-06-02T12:09:00Z</dcterms:created>
  <dcterms:modified xsi:type="dcterms:W3CDTF">2022-06-06T06:39:00Z</dcterms:modified>
</cp:coreProperties>
</file>